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623A01" w:rsidRDefault="00E13E6B" w:rsidP="00531D1E">
      <w:pPr>
        <w:ind w:left="2835" w:right="1843" w:hanging="992"/>
        <w:jc w:val="both"/>
        <w:rPr>
          <w:rFonts w:ascii="Tahoma" w:hAnsi="Tahoma" w:cs="Tahoma"/>
          <w:i/>
          <w:sz w:val="18"/>
          <w:szCs w:val="18"/>
        </w:rPr>
      </w:pPr>
      <w:r w:rsidRPr="00623A01">
        <w:rPr>
          <w:rFonts w:ascii="Tahoma" w:hAnsi="Tahoma" w:cs="Tahoma"/>
          <w:b/>
          <w:i/>
          <w:sz w:val="18"/>
          <w:szCs w:val="18"/>
        </w:rPr>
        <w:t xml:space="preserve">Sumilla: </w:t>
      </w:r>
      <w:r w:rsidR="00214D5E" w:rsidRPr="00623A01">
        <w:rPr>
          <w:rFonts w:ascii="Tahoma" w:hAnsi="Tahoma" w:cs="Tahoma"/>
          <w:b/>
          <w:i/>
          <w:sz w:val="18"/>
          <w:szCs w:val="18"/>
        </w:rPr>
        <w:t xml:space="preserve">     </w:t>
      </w:r>
      <w:r w:rsidR="00635F2E" w:rsidRPr="00623A01">
        <w:rPr>
          <w:rFonts w:ascii="Tahoma" w:hAnsi="Tahoma" w:cs="Tahoma"/>
          <w:b/>
          <w:i/>
          <w:sz w:val="18"/>
          <w:szCs w:val="18"/>
        </w:rPr>
        <w:t>“</w:t>
      </w:r>
      <w:r w:rsidR="00FF6B17" w:rsidRPr="00623A01">
        <w:rPr>
          <w:rFonts w:ascii="Tahoma" w:hAnsi="Tahoma" w:cs="Tahoma"/>
          <w:i/>
          <w:sz w:val="18"/>
          <w:szCs w:val="18"/>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w:t>
      </w:r>
      <w:r w:rsidR="00623A01">
        <w:rPr>
          <w:rFonts w:ascii="Tahoma" w:hAnsi="Tahoma" w:cs="Tahoma"/>
          <w:i/>
          <w:sz w:val="18"/>
          <w:szCs w:val="18"/>
        </w:rPr>
        <w:t>usal atribuible a la Contratista</w:t>
      </w:r>
      <w:r w:rsidR="00635F2E" w:rsidRPr="00623A01">
        <w:rPr>
          <w:rFonts w:ascii="Tahoma" w:hAnsi="Tahoma" w:cs="Tahoma"/>
          <w:i/>
          <w:sz w:val="18"/>
          <w:szCs w:val="18"/>
        </w:rPr>
        <w:t>”.</w:t>
      </w:r>
    </w:p>
    <w:p w:rsidR="00E13E6B" w:rsidRPr="00BD5DE4" w:rsidRDefault="00E13E6B" w:rsidP="00E13E6B">
      <w:pPr>
        <w:ind w:left="2268" w:right="1843"/>
        <w:jc w:val="both"/>
        <w:rPr>
          <w:rFonts w:ascii="Tahoma" w:hAnsi="Tahoma" w:cs="Tahoma"/>
          <w:b/>
          <w:i/>
          <w:sz w:val="20"/>
          <w:szCs w:val="20"/>
          <w:highlight w:val="yellow"/>
        </w:rPr>
      </w:pPr>
    </w:p>
    <w:p w:rsidR="00E13E6B" w:rsidRPr="00623A01" w:rsidRDefault="00E13E6B" w:rsidP="00E13E6B">
      <w:pPr>
        <w:pStyle w:val="Textoindependiente3"/>
        <w:ind w:left="4956" w:firstLine="708"/>
        <w:jc w:val="both"/>
        <w:rPr>
          <w:rFonts w:ascii="Tahoma" w:hAnsi="Tahoma" w:cs="Tahoma"/>
          <w:sz w:val="21"/>
          <w:szCs w:val="21"/>
        </w:rPr>
      </w:pPr>
      <w:r w:rsidRPr="00623A01">
        <w:rPr>
          <w:rFonts w:ascii="Tahoma" w:hAnsi="Tahoma" w:cs="Tahoma"/>
          <w:sz w:val="21"/>
          <w:szCs w:val="21"/>
        </w:rPr>
        <w:t xml:space="preserve">Lima, </w:t>
      </w:r>
      <w:r w:rsidR="00880912">
        <w:rPr>
          <w:rFonts w:ascii="Tahoma" w:hAnsi="Tahoma" w:cs="Tahoma"/>
          <w:sz w:val="21"/>
          <w:szCs w:val="21"/>
        </w:rPr>
        <w:t>24 de Marzo de 2011</w:t>
      </w:r>
    </w:p>
    <w:p w:rsidR="00E13E6B" w:rsidRPr="00623A01" w:rsidRDefault="00E13E6B" w:rsidP="00E13E6B">
      <w:pPr>
        <w:pStyle w:val="Textoindependiente3"/>
        <w:jc w:val="both"/>
        <w:rPr>
          <w:rFonts w:ascii="Tahoma" w:hAnsi="Tahoma" w:cs="Tahoma"/>
          <w:b w:val="0"/>
          <w:sz w:val="21"/>
          <w:szCs w:val="21"/>
          <w:lang w:val="es-ES"/>
        </w:rPr>
      </w:pPr>
    </w:p>
    <w:p w:rsidR="00E13E6B" w:rsidRPr="00623A01" w:rsidRDefault="00E13E6B" w:rsidP="00E13E6B">
      <w:pPr>
        <w:ind w:firstLine="708"/>
        <w:jc w:val="both"/>
        <w:rPr>
          <w:rFonts w:ascii="Tahoma" w:hAnsi="Tahoma" w:cs="Tahoma"/>
          <w:sz w:val="21"/>
          <w:szCs w:val="21"/>
        </w:rPr>
      </w:pPr>
      <w:r w:rsidRPr="00623A01">
        <w:rPr>
          <w:rFonts w:ascii="Tahoma" w:hAnsi="Tahoma" w:cs="Tahoma"/>
          <w:b/>
          <w:sz w:val="21"/>
          <w:szCs w:val="21"/>
        </w:rPr>
        <w:t>VISTO,</w:t>
      </w:r>
      <w:r w:rsidRPr="00623A01">
        <w:rPr>
          <w:rFonts w:ascii="Tahoma" w:hAnsi="Tahoma" w:cs="Tahoma"/>
          <w:sz w:val="21"/>
          <w:szCs w:val="21"/>
        </w:rPr>
        <w:t xml:space="preserve"> en sesión de fecha </w:t>
      </w:r>
      <w:r w:rsidR="00A53CAF" w:rsidRPr="00623A01">
        <w:rPr>
          <w:rFonts w:ascii="Tahoma" w:hAnsi="Tahoma" w:cs="Tahoma"/>
          <w:sz w:val="21"/>
          <w:szCs w:val="21"/>
        </w:rPr>
        <w:t>23</w:t>
      </w:r>
      <w:r w:rsidR="00214D5E" w:rsidRPr="00623A01">
        <w:rPr>
          <w:rFonts w:ascii="Tahoma" w:hAnsi="Tahoma" w:cs="Tahoma"/>
          <w:sz w:val="21"/>
          <w:szCs w:val="21"/>
        </w:rPr>
        <w:t xml:space="preserve"> de marzo</w:t>
      </w:r>
      <w:r w:rsidR="00531D1E" w:rsidRPr="00623A01">
        <w:rPr>
          <w:rFonts w:ascii="Tahoma" w:hAnsi="Tahoma" w:cs="Tahoma"/>
          <w:sz w:val="21"/>
          <w:szCs w:val="21"/>
        </w:rPr>
        <w:t xml:space="preserve"> de 2011</w:t>
      </w:r>
      <w:r w:rsidRPr="00623A01">
        <w:rPr>
          <w:rFonts w:ascii="Tahoma" w:hAnsi="Tahoma" w:cs="Tahoma"/>
          <w:sz w:val="21"/>
          <w:szCs w:val="21"/>
        </w:rPr>
        <w:t xml:space="preserve"> de la </w:t>
      </w:r>
      <w:r w:rsidR="001776B6" w:rsidRPr="00623A01">
        <w:rPr>
          <w:rFonts w:ascii="Tahoma" w:hAnsi="Tahoma" w:cs="Tahoma"/>
          <w:sz w:val="21"/>
          <w:szCs w:val="21"/>
        </w:rPr>
        <w:t>Primera</w:t>
      </w:r>
      <w:r w:rsidRPr="00623A01">
        <w:rPr>
          <w:rFonts w:ascii="Tahoma" w:hAnsi="Tahoma" w:cs="Tahoma"/>
          <w:sz w:val="21"/>
          <w:szCs w:val="21"/>
        </w:rPr>
        <w:t xml:space="preserve"> Sala del Tribunal de Contrataciones del Estado el Expediente № </w:t>
      </w:r>
      <w:r w:rsidR="00A53CAF" w:rsidRPr="00623A01">
        <w:rPr>
          <w:rFonts w:ascii="Tahoma" w:hAnsi="Tahoma" w:cs="Tahoma"/>
          <w:sz w:val="21"/>
          <w:szCs w:val="21"/>
        </w:rPr>
        <w:t>1147</w:t>
      </w:r>
      <w:r w:rsidR="00531D1E" w:rsidRPr="00623A01">
        <w:rPr>
          <w:rFonts w:ascii="Tahoma" w:hAnsi="Tahoma" w:cs="Tahoma"/>
          <w:sz w:val="21"/>
          <w:szCs w:val="21"/>
        </w:rPr>
        <w:t>/20</w:t>
      </w:r>
      <w:r w:rsidR="00222218" w:rsidRPr="00623A01">
        <w:rPr>
          <w:rFonts w:ascii="Tahoma" w:hAnsi="Tahoma" w:cs="Tahoma"/>
          <w:sz w:val="21"/>
          <w:szCs w:val="21"/>
        </w:rPr>
        <w:t>10</w:t>
      </w:r>
      <w:r w:rsidRPr="00623A01">
        <w:rPr>
          <w:rFonts w:ascii="Tahoma" w:hAnsi="Tahoma" w:cs="Tahoma"/>
          <w:sz w:val="21"/>
          <w:szCs w:val="21"/>
        </w:rPr>
        <w:t>.TC, sobre procedimiento administrativo sancionador contra</w:t>
      </w:r>
      <w:r w:rsidR="00140241" w:rsidRPr="00623A01">
        <w:rPr>
          <w:rFonts w:ascii="Tahoma" w:hAnsi="Tahoma" w:cs="Tahoma"/>
          <w:sz w:val="21"/>
          <w:szCs w:val="21"/>
        </w:rPr>
        <w:t xml:space="preserve"> </w:t>
      </w:r>
      <w:r w:rsidR="00A53CAF" w:rsidRPr="00623A01">
        <w:rPr>
          <w:rFonts w:ascii="Tahoma" w:hAnsi="Tahoma" w:cs="Tahoma"/>
          <w:sz w:val="21"/>
          <w:szCs w:val="21"/>
        </w:rPr>
        <w:t xml:space="preserve">la señora ELIZABETH PAOLA CHAVEZ DILLERVA </w:t>
      </w:r>
      <w:r w:rsidRPr="00623A01">
        <w:rPr>
          <w:rFonts w:ascii="Tahoma" w:hAnsi="Tahoma" w:cs="Tahoma"/>
          <w:sz w:val="21"/>
          <w:szCs w:val="21"/>
        </w:rPr>
        <w:t xml:space="preserve">por supuesta responsabilidad en la resolución </w:t>
      </w:r>
      <w:r w:rsidR="00E964AA" w:rsidRPr="00623A01">
        <w:rPr>
          <w:rFonts w:ascii="Tahoma" w:hAnsi="Tahoma" w:cs="Tahoma"/>
          <w:sz w:val="21"/>
          <w:szCs w:val="21"/>
        </w:rPr>
        <w:t>de</w:t>
      </w:r>
      <w:r w:rsidR="00214D5E" w:rsidRPr="00623A01">
        <w:rPr>
          <w:rFonts w:ascii="Tahoma" w:hAnsi="Tahoma" w:cs="Tahoma"/>
          <w:sz w:val="21"/>
          <w:szCs w:val="21"/>
        </w:rPr>
        <w:t>l</w:t>
      </w:r>
      <w:r w:rsidR="00E964AA" w:rsidRPr="00623A01">
        <w:rPr>
          <w:rFonts w:ascii="Tahoma" w:hAnsi="Tahoma" w:cs="Tahoma"/>
          <w:sz w:val="21"/>
          <w:szCs w:val="21"/>
        </w:rPr>
        <w:t xml:space="preserve"> </w:t>
      </w:r>
      <w:r w:rsidR="00A53CAF" w:rsidRPr="00623A01">
        <w:rPr>
          <w:rFonts w:ascii="Tahoma" w:hAnsi="Tahoma" w:cs="Tahoma"/>
          <w:sz w:val="21"/>
          <w:szCs w:val="21"/>
        </w:rPr>
        <w:t xml:space="preserve">Contrato № ES-C-130-2009 </w:t>
      </w:r>
      <w:r w:rsidR="00822C2F" w:rsidRPr="00623A01">
        <w:rPr>
          <w:rFonts w:ascii="Tahoma" w:hAnsi="Tahoma" w:cs="Tahoma"/>
          <w:sz w:val="21"/>
          <w:szCs w:val="21"/>
        </w:rPr>
        <w:t xml:space="preserve">por causa atribuible a </w:t>
      </w:r>
      <w:r w:rsidR="00A53CAF" w:rsidRPr="00623A01">
        <w:rPr>
          <w:rFonts w:ascii="Tahoma" w:hAnsi="Tahoma" w:cs="Tahoma"/>
          <w:sz w:val="21"/>
          <w:szCs w:val="21"/>
        </w:rPr>
        <w:t>ella</w:t>
      </w:r>
      <w:r w:rsidR="00466DC8" w:rsidRPr="00623A01">
        <w:rPr>
          <w:rFonts w:ascii="Tahoma" w:hAnsi="Tahoma" w:cs="Tahoma"/>
          <w:sz w:val="21"/>
          <w:szCs w:val="21"/>
        </w:rPr>
        <w:t>, derivada</w:t>
      </w:r>
      <w:r w:rsidR="000B0A8A" w:rsidRPr="00623A01">
        <w:rPr>
          <w:rFonts w:ascii="Tahoma" w:hAnsi="Tahoma" w:cs="Tahoma"/>
          <w:sz w:val="21"/>
          <w:szCs w:val="21"/>
        </w:rPr>
        <w:t xml:space="preserve"> de la</w:t>
      </w:r>
      <w:r w:rsidRPr="00623A01">
        <w:rPr>
          <w:rFonts w:ascii="Tahoma" w:hAnsi="Tahoma" w:cs="Tahoma"/>
          <w:sz w:val="21"/>
          <w:szCs w:val="21"/>
        </w:rPr>
        <w:t xml:space="preserve"> </w:t>
      </w:r>
      <w:r w:rsidR="00A53CAF" w:rsidRPr="00623A01">
        <w:rPr>
          <w:rFonts w:ascii="Tahoma" w:hAnsi="Tahoma" w:cs="Tahoma"/>
          <w:sz w:val="21"/>
          <w:szCs w:val="21"/>
        </w:rPr>
        <w:t>Adjudicación de Menor Cuantía № 084-2009-ES, primera convocatoria, derivado de la Adjudicación Directa Selectiva № 041-2009-ES</w:t>
      </w:r>
      <w:r w:rsidRPr="00623A01">
        <w:rPr>
          <w:rFonts w:ascii="Tahoma" w:hAnsi="Tahoma" w:cs="Tahoma"/>
          <w:sz w:val="21"/>
          <w:szCs w:val="21"/>
        </w:rPr>
        <w:t>, convocado por</w:t>
      </w:r>
      <w:r w:rsidR="004F2CC5" w:rsidRPr="00623A01">
        <w:rPr>
          <w:rFonts w:ascii="Tahoma" w:hAnsi="Tahoma" w:cs="Tahoma"/>
          <w:sz w:val="21"/>
          <w:szCs w:val="21"/>
        </w:rPr>
        <w:t xml:space="preserve"> </w:t>
      </w:r>
      <w:r w:rsidR="00B34BC9" w:rsidRPr="00623A01">
        <w:rPr>
          <w:rFonts w:ascii="Tahoma" w:hAnsi="Tahoma" w:cs="Tahoma"/>
          <w:sz w:val="21"/>
          <w:szCs w:val="21"/>
        </w:rPr>
        <w:t>Electrosur S.A.</w:t>
      </w:r>
      <w:r w:rsidRPr="00623A01">
        <w:rPr>
          <w:rFonts w:ascii="Tahoma" w:hAnsi="Tahoma" w:cs="Tahoma"/>
          <w:sz w:val="21"/>
          <w:szCs w:val="21"/>
        </w:rPr>
        <w:t>, para</w:t>
      </w:r>
      <w:r w:rsidR="00903A92" w:rsidRPr="00623A01">
        <w:rPr>
          <w:rFonts w:ascii="Tahoma" w:hAnsi="Tahoma" w:cs="Tahoma"/>
          <w:sz w:val="21"/>
          <w:szCs w:val="21"/>
        </w:rPr>
        <w:t xml:space="preserve"> </w:t>
      </w:r>
      <w:r w:rsidR="00623A01" w:rsidRPr="00623A01">
        <w:rPr>
          <w:rFonts w:ascii="Tahoma" w:hAnsi="Tahoma" w:cs="Tahoma"/>
          <w:sz w:val="21"/>
          <w:szCs w:val="21"/>
        </w:rPr>
        <w:t>la contratación del servicio de mensajería a nivel local y nacional</w:t>
      </w:r>
      <w:r w:rsidRPr="00623A01">
        <w:rPr>
          <w:rFonts w:ascii="Tahoma" w:hAnsi="Tahoma" w:cs="Tahoma"/>
          <w:sz w:val="21"/>
          <w:szCs w:val="21"/>
        </w:rPr>
        <w:t xml:space="preserve">, y; atendiendo a los siguientes:  </w:t>
      </w:r>
    </w:p>
    <w:p w:rsidR="00E13E6B" w:rsidRPr="00623A01" w:rsidRDefault="00E13E6B" w:rsidP="00E13E6B">
      <w:pPr>
        <w:ind w:right="45"/>
        <w:jc w:val="both"/>
        <w:rPr>
          <w:rFonts w:ascii="Tahoma" w:hAnsi="Tahoma" w:cs="Tahoma"/>
          <w:b/>
          <w:sz w:val="21"/>
          <w:szCs w:val="21"/>
        </w:rPr>
      </w:pPr>
    </w:p>
    <w:p w:rsidR="00E13E6B" w:rsidRPr="00623A01" w:rsidRDefault="00E13E6B" w:rsidP="00E13E6B">
      <w:pPr>
        <w:ind w:firstLine="567"/>
        <w:jc w:val="both"/>
        <w:rPr>
          <w:rFonts w:ascii="Tahoma" w:hAnsi="Tahoma" w:cs="Tahoma"/>
          <w:b/>
          <w:sz w:val="21"/>
          <w:szCs w:val="21"/>
        </w:rPr>
      </w:pPr>
      <w:r w:rsidRPr="00623A01">
        <w:rPr>
          <w:rFonts w:ascii="Tahoma" w:hAnsi="Tahoma" w:cs="Tahoma"/>
          <w:b/>
          <w:sz w:val="21"/>
          <w:szCs w:val="21"/>
        </w:rPr>
        <w:t>ANTECEDENTES:</w:t>
      </w:r>
    </w:p>
    <w:p w:rsidR="00E13E6B" w:rsidRPr="00623A01" w:rsidRDefault="00E13E6B" w:rsidP="00E13E6B">
      <w:pPr>
        <w:ind w:left="426"/>
        <w:jc w:val="both"/>
        <w:rPr>
          <w:rFonts w:ascii="Tahoma" w:hAnsi="Tahoma" w:cs="Tahoma"/>
          <w:b/>
          <w:bCs/>
          <w:shadow/>
          <w:sz w:val="21"/>
          <w:szCs w:val="21"/>
        </w:rPr>
      </w:pPr>
    </w:p>
    <w:p w:rsidR="00BD5DE4" w:rsidRPr="00623A01" w:rsidRDefault="00BD5DE4" w:rsidP="00A53CAF">
      <w:pPr>
        <w:numPr>
          <w:ilvl w:val="0"/>
          <w:numId w:val="19"/>
        </w:numPr>
        <w:ind w:left="567" w:hanging="567"/>
        <w:jc w:val="both"/>
        <w:rPr>
          <w:rFonts w:ascii="Tahoma" w:hAnsi="Tahoma" w:cs="Tahoma"/>
          <w:sz w:val="21"/>
          <w:szCs w:val="21"/>
        </w:rPr>
      </w:pPr>
      <w:r w:rsidRPr="00623A01">
        <w:rPr>
          <w:rFonts w:ascii="Tahoma" w:hAnsi="Tahoma" w:cs="Tahoma"/>
          <w:sz w:val="21"/>
          <w:szCs w:val="21"/>
        </w:rPr>
        <w:t>El 22 de octubre de 2009, Electrosur S.A., en adelante la Entidad, convocó la Adjudicación de Menor Cuantía № 084-2009-ES, primera convocatoria, derivado de la Adjudicación Directa Selectiva № 041-2009-ES, para la contratación del servicio de mensajería a nivel local y nacional, por un valor referencial de S/. 36 950.00 (Treinta y seis mil novecientos cincuenta con 00/100 nuevos soles), incluido los impuesto de ley.</w:t>
      </w:r>
    </w:p>
    <w:p w:rsidR="00BD5DE4" w:rsidRPr="00623A01" w:rsidRDefault="00BD5DE4" w:rsidP="00A53CAF">
      <w:pPr>
        <w:ind w:left="567"/>
        <w:jc w:val="both"/>
        <w:rPr>
          <w:rFonts w:ascii="Tahoma" w:hAnsi="Tahoma" w:cs="Tahoma"/>
          <w:sz w:val="21"/>
          <w:szCs w:val="21"/>
        </w:rPr>
      </w:pPr>
    </w:p>
    <w:p w:rsidR="00BD5DE4" w:rsidRPr="00623A01" w:rsidRDefault="00BD5DE4" w:rsidP="00A53CAF">
      <w:pPr>
        <w:numPr>
          <w:ilvl w:val="0"/>
          <w:numId w:val="19"/>
        </w:numPr>
        <w:ind w:left="567" w:hanging="567"/>
        <w:jc w:val="both"/>
        <w:rPr>
          <w:rFonts w:ascii="Tahoma" w:hAnsi="Tahoma" w:cs="Tahoma"/>
          <w:sz w:val="21"/>
          <w:szCs w:val="21"/>
        </w:rPr>
      </w:pPr>
      <w:r w:rsidRPr="00623A01">
        <w:rPr>
          <w:rFonts w:ascii="Tahoma" w:hAnsi="Tahoma" w:cs="Tahoma"/>
          <w:sz w:val="21"/>
          <w:szCs w:val="21"/>
        </w:rPr>
        <w:t>Como resultado del proceso de selección, el 04 de noviembre de 2009, se otorgó la Buena Pro a la señora ELIZABETH PAOLA CHAVEZ DILLERVA, en lo sucesivo la Contratista, por su oferta económica ascendente a S/. 36 920.00 nuevos soles.</w:t>
      </w:r>
    </w:p>
    <w:p w:rsidR="00BD5DE4" w:rsidRPr="00623A01" w:rsidRDefault="00BD5DE4" w:rsidP="00A53CAF">
      <w:pPr>
        <w:pStyle w:val="Prrafodelista"/>
        <w:jc w:val="both"/>
        <w:rPr>
          <w:rFonts w:ascii="Tahoma" w:hAnsi="Tahoma" w:cs="Tahoma"/>
          <w:sz w:val="21"/>
          <w:szCs w:val="21"/>
        </w:rPr>
      </w:pPr>
    </w:p>
    <w:p w:rsidR="00BD5DE4" w:rsidRPr="00623A01" w:rsidRDefault="00BD5DE4" w:rsidP="00A53CAF">
      <w:pPr>
        <w:numPr>
          <w:ilvl w:val="0"/>
          <w:numId w:val="19"/>
        </w:numPr>
        <w:ind w:left="567" w:hanging="567"/>
        <w:jc w:val="both"/>
        <w:rPr>
          <w:rFonts w:ascii="Tahoma" w:hAnsi="Tahoma" w:cs="Tahoma"/>
          <w:sz w:val="21"/>
          <w:szCs w:val="21"/>
        </w:rPr>
      </w:pPr>
      <w:r w:rsidRPr="00623A01">
        <w:rPr>
          <w:rFonts w:ascii="Tahoma" w:hAnsi="Tahoma" w:cs="Tahoma"/>
          <w:sz w:val="21"/>
          <w:szCs w:val="21"/>
        </w:rPr>
        <w:t>El 30 de noviembre de 2009, la Entidad y la Contratista, suscribieron el Contrato № ES-C-130-2009, para el servicio de mensajería a nivel local y nacional, bajo el sistema de precios unitarios, por el monto de S/. 36 920.00, y cuyo plazo de ejecución contractual sería de diez (10) meses a tenor de la Cláusula Quinta del citado contrato.</w:t>
      </w:r>
    </w:p>
    <w:p w:rsidR="00BD5DE4" w:rsidRPr="00623A01" w:rsidRDefault="00BD5DE4" w:rsidP="00BD5DE4">
      <w:pPr>
        <w:pStyle w:val="Prrafodelista"/>
        <w:rPr>
          <w:rFonts w:ascii="Tahoma" w:hAnsi="Tahoma" w:cs="Tahoma"/>
          <w:sz w:val="21"/>
          <w:szCs w:val="21"/>
        </w:rPr>
      </w:pPr>
    </w:p>
    <w:p w:rsidR="00BD5DE4" w:rsidRPr="00623A01" w:rsidRDefault="00BD5DE4" w:rsidP="00BD5DE4">
      <w:pPr>
        <w:numPr>
          <w:ilvl w:val="0"/>
          <w:numId w:val="19"/>
        </w:numPr>
        <w:ind w:left="567" w:hanging="567"/>
        <w:jc w:val="both"/>
        <w:rPr>
          <w:rFonts w:ascii="Tahoma" w:hAnsi="Tahoma" w:cs="Tahoma"/>
          <w:sz w:val="21"/>
          <w:szCs w:val="21"/>
        </w:rPr>
      </w:pPr>
      <w:r w:rsidRPr="00623A01">
        <w:rPr>
          <w:rFonts w:ascii="Tahoma" w:hAnsi="Tahoma" w:cs="Tahoma"/>
          <w:sz w:val="21"/>
          <w:szCs w:val="21"/>
        </w:rPr>
        <w:t>A través de la Carta № G-1409-2009 de fecha 17 de diciembre de 2009, notificada vía conducto notarial el mismo día, mes y año, la Entidad requirió a la Contratista el cumplimiento de sus obligaciones contractuales descritas en el literal e) de la Cláusula Novena del Contrato № ES-C-130-2009, toda vez que el día 02 de diciembre del 2009, no hizo efectivo el recojo y entrega de la valija para las ciudades de Ilo y Moquegua en el horario establecido por la Entidad; precisando que de continuar con el incumplimiento se procedería a la resolución contractual.</w:t>
      </w:r>
    </w:p>
    <w:p w:rsidR="00BD5DE4" w:rsidRPr="00623A01" w:rsidRDefault="00BD5DE4" w:rsidP="00BD5DE4">
      <w:pPr>
        <w:pStyle w:val="Prrafodelista"/>
        <w:rPr>
          <w:rFonts w:ascii="Tahoma" w:hAnsi="Tahoma" w:cs="Tahoma"/>
          <w:sz w:val="21"/>
          <w:szCs w:val="21"/>
        </w:rPr>
      </w:pPr>
    </w:p>
    <w:p w:rsidR="00BD5DE4" w:rsidRPr="00623A01" w:rsidRDefault="00BD5DE4" w:rsidP="00BD5DE4">
      <w:pPr>
        <w:numPr>
          <w:ilvl w:val="0"/>
          <w:numId w:val="19"/>
        </w:numPr>
        <w:ind w:left="567" w:hanging="567"/>
        <w:jc w:val="both"/>
        <w:rPr>
          <w:rFonts w:ascii="Tahoma" w:hAnsi="Tahoma" w:cs="Tahoma"/>
          <w:sz w:val="21"/>
          <w:szCs w:val="21"/>
        </w:rPr>
      </w:pPr>
      <w:r w:rsidRPr="00623A01">
        <w:rPr>
          <w:rFonts w:ascii="Tahoma" w:hAnsi="Tahoma" w:cs="Tahoma"/>
          <w:sz w:val="21"/>
          <w:szCs w:val="21"/>
        </w:rPr>
        <w:lastRenderedPageBreak/>
        <w:t>A través de la Carta № G-A-493-2010 de fecha 13 de mayo de 2010, diligenciada notarialmente el mismo día, mes y año, la Entidad comunicó a la Contratista la resolución del vínculo contractual, por causal atribuible a su parte.</w:t>
      </w:r>
    </w:p>
    <w:p w:rsidR="00BD5DE4" w:rsidRPr="00623A01" w:rsidRDefault="00BD5DE4" w:rsidP="00BD5DE4">
      <w:pPr>
        <w:pStyle w:val="Prrafodelista"/>
        <w:rPr>
          <w:rFonts w:ascii="Tahoma" w:hAnsi="Tahoma" w:cs="Tahoma"/>
          <w:sz w:val="21"/>
          <w:szCs w:val="21"/>
        </w:rPr>
      </w:pPr>
    </w:p>
    <w:p w:rsidR="00BD5DE4" w:rsidRPr="00623A01" w:rsidRDefault="00BD5DE4" w:rsidP="00BD5DE4">
      <w:pPr>
        <w:numPr>
          <w:ilvl w:val="0"/>
          <w:numId w:val="19"/>
        </w:numPr>
        <w:ind w:left="567" w:hanging="567"/>
        <w:jc w:val="both"/>
        <w:rPr>
          <w:rFonts w:ascii="Tahoma" w:hAnsi="Tahoma" w:cs="Tahoma"/>
          <w:sz w:val="21"/>
          <w:szCs w:val="21"/>
        </w:rPr>
      </w:pPr>
      <w:r w:rsidRPr="00623A01">
        <w:rPr>
          <w:rFonts w:ascii="Tahoma" w:hAnsi="Tahoma" w:cs="Tahoma"/>
          <w:sz w:val="21"/>
          <w:szCs w:val="21"/>
        </w:rPr>
        <w:t xml:space="preserve">Con Carta № G-0903-2010 presentado el 27 de agosto de 2010 ante la Oficina de Tramite Documentario del OSCE e ingresado a la Mesa de Partes del Tribunal el mismo día, mes y año, la Entidad puso en conocimiento del Tribunal de Contrataciones del Estado, en adelante el Tribunal, la supuesta responsabilidad de la Contratista en la resolución del Contrato № ES-C-130-2009, por causal atribuible a su parte, derivado del acotado proceso de selección, pese a haber sido requerida de acuerdo con la legislación vigente. </w:t>
      </w:r>
    </w:p>
    <w:p w:rsidR="00BD5DE4" w:rsidRPr="00623A01" w:rsidRDefault="00BD5DE4" w:rsidP="00BD5DE4">
      <w:pPr>
        <w:pStyle w:val="Prrafodelista"/>
        <w:rPr>
          <w:rFonts w:ascii="Tahoma" w:hAnsi="Tahoma" w:cs="Tahoma"/>
          <w:bCs/>
          <w:sz w:val="21"/>
          <w:szCs w:val="21"/>
        </w:rPr>
      </w:pPr>
    </w:p>
    <w:p w:rsidR="00BD5DE4" w:rsidRPr="00623A01" w:rsidRDefault="00BD5DE4" w:rsidP="00BD5DE4">
      <w:pPr>
        <w:numPr>
          <w:ilvl w:val="0"/>
          <w:numId w:val="19"/>
        </w:numPr>
        <w:ind w:left="567" w:hanging="567"/>
        <w:jc w:val="both"/>
        <w:rPr>
          <w:rFonts w:ascii="Tahoma" w:hAnsi="Tahoma" w:cs="Tahoma"/>
          <w:sz w:val="21"/>
          <w:szCs w:val="21"/>
        </w:rPr>
      </w:pPr>
      <w:r w:rsidRPr="00623A01">
        <w:rPr>
          <w:rFonts w:ascii="Tahoma" w:hAnsi="Tahoma" w:cs="Tahoma"/>
          <w:bCs/>
          <w:sz w:val="21"/>
          <w:szCs w:val="21"/>
        </w:rPr>
        <w:t>Con decreto de fecha 02 de septiembre de 2010, notificado el 13 de diciembre del mismo año, previamente al inicio del procedimiento administrativo sancionador, el Tribunal requirió a la Entidad que remita, entre otros, las cartas notariales de requerimiento de cumplimiento de obligaciones contractuales y resolución de contrato, debidamente diligenciadas vía conducto notarial, además de señalar si la controversia fue sometida a un mecanismo de solución de conflictos;</w:t>
      </w:r>
      <w:r w:rsidRPr="00623A01">
        <w:rPr>
          <w:rFonts w:ascii="Tahoma" w:hAnsi="Tahoma" w:cs="Tahoma"/>
          <w:bCs/>
          <w:sz w:val="21"/>
          <w:szCs w:val="21"/>
          <w:lang w:val="es-PE"/>
        </w:rPr>
        <w:t xml:space="preserve"> </w:t>
      </w:r>
      <w:r w:rsidRPr="00623A01">
        <w:rPr>
          <w:rFonts w:ascii="Tahoma" w:hAnsi="Tahoma" w:cs="Tahoma"/>
          <w:bCs/>
          <w:sz w:val="21"/>
          <w:szCs w:val="21"/>
        </w:rPr>
        <w:t>documentación e información que obligatoriamente deberían ser presentados en diez (10) días hábiles, bajo responsabilidad.</w:t>
      </w:r>
    </w:p>
    <w:p w:rsidR="00BD5DE4" w:rsidRPr="00623A01" w:rsidRDefault="00BD5DE4" w:rsidP="00BD5DE4">
      <w:pPr>
        <w:pStyle w:val="Prrafodelista"/>
        <w:rPr>
          <w:rFonts w:ascii="Tahoma" w:hAnsi="Tahoma" w:cs="Tahoma"/>
          <w:sz w:val="21"/>
          <w:szCs w:val="21"/>
        </w:rPr>
      </w:pPr>
    </w:p>
    <w:p w:rsidR="00BD5DE4" w:rsidRPr="00623A01" w:rsidRDefault="00BD5DE4" w:rsidP="00BD5DE4">
      <w:pPr>
        <w:numPr>
          <w:ilvl w:val="0"/>
          <w:numId w:val="19"/>
        </w:numPr>
        <w:ind w:left="567" w:hanging="567"/>
        <w:jc w:val="both"/>
        <w:rPr>
          <w:rFonts w:ascii="Tahoma" w:hAnsi="Tahoma" w:cs="Tahoma"/>
          <w:sz w:val="21"/>
          <w:szCs w:val="21"/>
        </w:rPr>
      </w:pPr>
      <w:r w:rsidRPr="00623A01">
        <w:rPr>
          <w:rFonts w:ascii="Tahoma" w:hAnsi="Tahoma" w:cs="Tahoma"/>
          <w:sz w:val="21"/>
          <w:szCs w:val="21"/>
        </w:rPr>
        <w:t>A través de la Carta N- G-1487-2010 presentado el 29 de diciembre de 2010, la Entidad cumplió con remitir la documentación solicitada por el Tribunal; asimismo, indicó que a la fecha no existía proceso arbitral u otro mecanismo que se haya iniciado.</w:t>
      </w:r>
    </w:p>
    <w:p w:rsidR="00BD5DE4" w:rsidRPr="00623A01" w:rsidRDefault="00BD5DE4" w:rsidP="00BD5DE4">
      <w:pPr>
        <w:pStyle w:val="Prrafodelista"/>
        <w:rPr>
          <w:rFonts w:ascii="Tahoma" w:hAnsi="Tahoma" w:cs="Tahoma"/>
          <w:sz w:val="21"/>
          <w:szCs w:val="21"/>
        </w:rPr>
      </w:pPr>
    </w:p>
    <w:p w:rsidR="00BD5DE4" w:rsidRPr="00623A01" w:rsidRDefault="00BD5DE4" w:rsidP="00BD5DE4">
      <w:pPr>
        <w:numPr>
          <w:ilvl w:val="0"/>
          <w:numId w:val="19"/>
        </w:numPr>
        <w:ind w:left="567" w:hanging="567"/>
        <w:jc w:val="both"/>
        <w:rPr>
          <w:rFonts w:ascii="Tahoma" w:hAnsi="Tahoma" w:cs="Tahoma"/>
          <w:sz w:val="21"/>
          <w:szCs w:val="21"/>
        </w:rPr>
      </w:pPr>
      <w:r w:rsidRPr="00623A01">
        <w:rPr>
          <w:rFonts w:ascii="Tahoma" w:hAnsi="Tahoma" w:cs="Tahoma"/>
          <w:sz w:val="21"/>
          <w:szCs w:val="21"/>
        </w:rPr>
        <w:t>Con decreto de fecha 04 de enero de 2011, el Tribunal inició el procedimiento administrativo sancionador contra la Contratista por su supuesta responsabilidad en la resolución del Contrato № ES-C-130-2009, derivado de la Adjudicación de Menor Cuantía № 084-2009-ES, primera convocatoria, derivado de la Adjudicación Directa Selectiva № 041-2009-ES, por causal atribuible a su parte, infracción tipificada en el literal b) del numeral 51.1 del artículo 51 de la Ley en concordancia con el literal b) del numeral 1) del artículo 237 del Reglamento. Asimismo, se le requirió para que en el plazo de diez (10) días hábiles cumplieran con presentar su escrito de descargos.</w:t>
      </w:r>
    </w:p>
    <w:p w:rsidR="00BD5DE4" w:rsidRPr="00623A01" w:rsidRDefault="00BD5DE4" w:rsidP="00BD5DE4">
      <w:pPr>
        <w:pStyle w:val="Prrafodelista"/>
        <w:rPr>
          <w:rFonts w:ascii="Tahoma" w:hAnsi="Tahoma" w:cs="Tahoma"/>
          <w:sz w:val="21"/>
          <w:szCs w:val="21"/>
        </w:rPr>
      </w:pPr>
    </w:p>
    <w:p w:rsidR="00BD5DE4" w:rsidRPr="00623A01" w:rsidRDefault="00BD5DE4" w:rsidP="00BD5DE4">
      <w:pPr>
        <w:numPr>
          <w:ilvl w:val="0"/>
          <w:numId w:val="19"/>
        </w:numPr>
        <w:ind w:left="567" w:hanging="567"/>
        <w:jc w:val="both"/>
        <w:rPr>
          <w:rFonts w:ascii="Tahoma" w:hAnsi="Tahoma" w:cs="Tahoma"/>
          <w:sz w:val="21"/>
          <w:szCs w:val="21"/>
        </w:rPr>
      </w:pPr>
      <w:r w:rsidRPr="00623A01">
        <w:rPr>
          <w:rFonts w:ascii="Tahoma" w:hAnsi="Tahoma" w:cs="Tahoma"/>
          <w:sz w:val="21"/>
          <w:szCs w:val="21"/>
        </w:rPr>
        <w:t>Mediante escrito presentado el 03 de marzo de 2011 ante la Oficina Desconcentrada de Tacna e ingresado a la Mesa de Partes del Tribunal el 07 del mismo mes y año, la Contratista presentó su escrito de descargos bajo los siguientes términos:</w:t>
      </w:r>
    </w:p>
    <w:p w:rsidR="00BD5DE4" w:rsidRPr="00623A01" w:rsidRDefault="00BD5DE4" w:rsidP="00BD5DE4">
      <w:pPr>
        <w:pStyle w:val="Prrafodelista"/>
        <w:rPr>
          <w:rFonts w:ascii="Tahoma" w:hAnsi="Tahoma" w:cs="Tahoma"/>
          <w:sz w:val="21"/>
          <w:szCs w:val="21"/>
        </w:rPr>
      </w:pPr>
    </w:p>
    <w:p w:rsidR="00BD5DE4" w:rsidRPr="00623A01" w:rsidRDefault="00BD5DE4" w:rsidP="00BD5DE4">
      <w:pPr>
        <w:numPr>
          <w:ilvl w:val="0"/>
          <w:numId w:val="22"/>
        </w:numPr>
        <w:ind w:left="1134" w:hanging="283"/>
        <w:jc w:val="both"/>
        <w:rPr>
          <w:rFonts w:ascii="Tahoma" w:hAnsi="Tahoma" w:cs="Tahoma"/>
          <w:sz w:val="21"/>
          <w:szCs w:val="21"/>
        </w:rPr>
      </w:pPr>
      <w:r w:rsidRPr="00623A01">
        <w:rPr>
          <w:rFonts w:ascii="Tahoma" w:hAnsi="Tahoma" w:cs="Tahoma"/>
          <w:sz w:val="21"/>
          <w:szCs w:val="21"/>
        </w:rPr>
        <w:t xml:space="preserve">La Entidad mediante la Carta № G-1409-2009 de fecha 17 de diciembre de 2009, nos requirió el cumplimiento de obligaciones contractuales, toda vez que el día 02 de diciembre del 2009, no se hizo efectivo el recojo y entrega de la valija para las ciudades de Ilo y Moquegua en el horario establecido por la Entidad; sin embargo, mi representada si cumplió con entregar la valija a su </w:t>
      </w:r>
      <w:r w:rsidRPr="00623A01">
        <w:rPr>
          <w:rFonts w:ascii="Tahoma" w:hAnsi="Tahoma" w:cs="Tahoma"/>
          <w:sz w:val="21"/>
          <w:szCs w:val="21"/>
        </w:rPr>
        <w:lastRenderedPageBreak/>
        <w:t xml:space="preserve">destino sin ningún retraso, por lo cual mi representada no incumplió sus obligaciones. </w:t>
      </w:r>
    </w:p>
    <w:p w:rsidR="00BD5DE4" w:rsidRPr="00623A01" w:rsidRDefault="00BD5DE4" w:rsidP="00BD5DE4">
      <w:pPr>
        <w:ind w:left="1134"/>
        <w:rPr>
          <w:rFonts w:ascii="Tahoma" w:hAnsi="Tahoma" w:cs="Tahoma"/>
          <w:sz w:val="21"/>
          <w:szCs w:val="21"/>
        </w:rPr>
      </w:pPr>
    </w:p>
    <w:p w:rsidR="00BD5DE4" w:rsidRPr="00623A01" w:rsidRDefault="00BD5DE4" w:rsidP="00BD5DE4">
      <w:pPr>
        <w:numPr>
          <w:ilvl w:val="0"/>
          <w:numId w:val="22"/>
        </w:numPr>
        <w:ind w:left="1134" w:hanging="283"/>
        <w:jc w:val="both"/>
        <w:rPr>
          <w:rFonts w:ascii="Tahoma" w:hAnsi="Tahoma" w:cs="Tahoma"/>
          <w:sz w:val="21"/>
          <w:szCs w:val="21"/>
        </w:rPr>
      </w:pPr>
      <w:r w:rsidRPr="00623A01">
        <w:rPr>
          <w:rFonts w:ascii="Tahoma" w:hAnsi="Tahoma" w:cs="Tahoma"/>
          <w:sz w:val="21"/>
          <w:szCs w:val="21"/>
        </w:rPr>
        <w:t>Tales afirmaciones se corroboran a través de la Carta № GA-279-2010 de fecha 29 de marzo de 2009, en la cual se desprende que no incurrimos en penalidad alguna; más aún, obra en autos, los envíos del 02 y 03 de diciembre de 2009, a través de las Guías №s  14485 y № 14483 para Ilo y Moquegua, respectivamente. Razón por la cual, mi representada cumplió dentro del plazo contractual con sus obligaciones contractuales.</w:t>
      </w:r>
    </w:p>
    <w:p w:rsidR="00BD5DE4" w:rsidRPr="00623A01" w:rsidRDefault="00BD5DE4" w:rsidP="00BD5DE4">
      <w:pPr>
        <w:pStyle w:val="Prrafodelista"/>
        <w:rPr>
          <w:rFonts w:ascii="Tahoma" w:hAnsi="Tahoma" w:cs="Tahoma"/>
          <w:sz w:val="21"/>
          <w:szCs w:val="21"/>
        </w:rPr>
      </w:pPr>
    </w:p>
    <w:p w:rsidR="00BD5DE4" w:rsidRPr="00623A01" w:rsidRDefault="00BD5DE4" w:rsidP="00BD5DE4">
      <w:pPr>
        <w:numPr>
          <w:ilvl w:val="0"/>
          <w:numId w:val="22"/>
        </w:numPr>
        <w:ind w:left="1134" w:hanging="283"/>
        <w:jc w:val="both"/>
        <w:rPr>
          <w:rFonts w:ascii="Tahoma" w:hAnsi="Tahoma" w:cs="Tahoma"/>
          <w:sz w:val="21"/>
          <w:szCs w:val="21"/>
        </w:rPr>
      </w:pPr>
      <w:r w:rsidRPr="00623A01">
        <w:rPr>
          <w:rFonts w:ascii="Tahoma" w:hAnsi="Tahoma" w:cs="Tahoma"/>
          <w:sz w:val="21"/>
          <w:szCs w:val="21"/>
        </w:rPr>
        <w:t>Sin perjuicio de lo expuesto, la Entidad no siguió el procedimiento y formalidad establecida en el artículo 169 del Reglamento de la Ley de Contrataciones del estado, toda vez que no otorgó un plazo no mayor a cinco (5) días hábiles para cumplir con las obligaciones contractuales.</w:t>
      </w:r>
    </w:p>
    <w:p w:rsidR="00BD5DE4" w:rsidRPr="00623A01" w:rsidRDefault="00BD5DE4" w:rsidP="00BD5DE4">
      <w:pPr>
        <w:pStyle w:val="Prrafodelista"/>
        <w:rPr>
          <w:rFonts w:ascii="Tahoma" w:hAnsi="Tahoma" w:cs="Tahoma"/>
          <w:sz w:val="21"/>
          <w:szCs w:val="21"/>
        </w:rPr>
      </w:pPr>
    </w:p>
    <w:p w:rsidR="00BD5DE4" w:rsidRPr="00623A01" w:rsidRDefault="00BD5DE4" w:rsidP="00BD5DE4">
      <w:pPr>
        <w:numPr>
          <w:ilvl w:val="0"/>
          <w:numId w:val="22"/>
        </w:numPr>
        <w:ind w:left="1134" w:hanging="283"/>
        <w:jc w:val="both"/>
        <w:rPr>
          <w:rFonts w:ascii="Tahoma" w:hAnsi="Tahoma" w:cs="Tahoma"/>
          <w:sz w:val="21"/>
          <w:szCs w:val="21"/>
        </w:rPr>
      </w:pPr>
      <w:r w:rsidRPr="00623A01">
        <w:rPr>
          <w:rFonts w:ascii="Tahoma" w:hAnsi="Tahoma" w:cs="Tahoma"/>
          <w:sz w:val="21"/>
          <w:szCs w:val="21"/>
        </w:rPr>
        <w:t xml:space="preserve">Finalmente, solicitó se declare no ha lugar a la imposición de sanción administrativa, toda vez que la Entidad no observó las formalidades y procedimiento que la Ley de la materia ha previsto. </w:t>
      </w:r>
    </w:p>
    <w:p w:rsidR="00BD5DE4" w:rsidRPr="00623A01" w:rsidRDefault="00BD5DE4" w:rsidP="00BD5DE4">
      <w:pPr>
        <w:ind w:left="1134"/>
        <w:rPr>
          <w:rFonts w:ascii="Tahoma" w:hAnsi="Tahoma" w:cs="Tahoma"/>
          <w:sz w:val="21"/>
          <w:szCs w:val="21"/>
        </w:rPr>
      </w:pPr>
    </w:p>
    <w:p w:rsidR="00BD5DE4" w:rsidRPr="00623A01" w:rsidRDefault="00BD5DE4" w:rsidP="00BD5DE4">
      <w:pPr>
        <w:numPr>
          <w:ilvl w:val="0"/>
          <w:numId w:val="19"/>
        </w:numPr>
        <w:ind w:left="567" w:hanging="567"/>
        <w:jc w:val="both"/>
        <w:rPr>
          <w:rFonts w:ascii="Tahoma" w:hAnsi="Tahoma" w:cs="Tahoma"/>
          <w:sz w:val="21"/>
          <w:szCs w:val="21"/>
        </w:rPr>
      </w:pPr>
      <w:r w:rsidRPr="00623A01">
        <w:rPr>
          <w:rFonts w:ascii="Tahoma" w:hAnsi="Tahoma" w:cs="Tahoma"/>
          <w:sz w:val="21"/>
          <w:szCs w:val="21"/>
        </w:rPr>
        <w:t>Con decreto de fecha 10 de marzo de 2011, se tuvo por apersonada a la Contratista a la instancia administrativa, y se remitió el expediente a la Primera Sala del Tribunal para que resolviera.</w:t>
      </w:r>
    </w:p>
    <w:p w:rsidR="006E5571" w:rsidRPr="00623A01" w:rsidRDefault="006E5571" w:rsidP="00E13E6B">
      <w:pPr>
        <w:pStyle w:val="Textoindependiente"/>
        <w:tabs>
          <w:tab w:val="left" w:pos="-2340"/>
          <w:tab w:val="left" w:pos="540"/>
        </w:tabs>
        <w:spacing w:after="0"/>
        <w:ind w:left="180" w:hanging="180"/>
        <w:jc w:val="both"/>
        <w:rPr>
          <w:rFonts w:ascii="Tahoma" w:hAnsi="Tahoma" w:cs="Tahoma"/>
          <w:b/>
          <w:sz w:val="21"/>
          <w:szCs w:val="21"/>
        </w:rPr>
      </w:pPr>
    </w:p>
    <w:p w:rsidR="00E13E6B" w:rsidRPr="00623A01" w:rsidRDefault="00E13E6B" w:rsidP="00E13E6B">
      <w:pPr>
        <w:pStyle w:val="Textoindependiente"/>
        <w:tabs>
          <w:tab w:val="left" w:pos="-2340"/>
          <w:tab w:val="left" w:pos="540"/>
        </w:tabs>
        <w:spacing w:after="0"/>
        <w:ind w:left="180" w:hanging="180"/>
        <w:jc w:val="both"/>
        <w:rPr>
          <w:rFonts w:ascii="Tahoma" w:hAnsi="Tahoma" w:cs="Tahoma"/>
          <w:b/>
          <w:sz w:val="21"/>
          <w:szCs w:val="21"/>
        </w:rPr>
      </w:pPr>
      <w:r w:rsidRPr="00623A01">
        <w:rPr>
          <w:rFonts w:ascii="Tahoma" w:hAnsi="Tahoma" w:cs="Tahoma"/>
          <w:b/>
          <w:sz w:val="21"/>
          <w:szCs w:val="21"/>
        </w:rPr>
        <w:tab/>
      </w:r>
      <w:r w:rsidRPr="00623A01">
        <w:rPr>
          <w:rFonts w:ascii="Tahoma" w:hAnsi="Tahoma" w:cs="Tahoma"/>
          <w:b/>
          <w:sz w:val="21"/>
          <w:szCs w:val="21"/>
        </w:rPr>
        <w:tab/>
        <w:t>FUNDAMENTACIÓN:</w:t>
      </w:r>
    </w:p>
    <w:p w:rsidR="00E13E6B" w:rsidRPr="00623A01" w:rsidRDefault="00E13E6B" w:rsidP="00E13E6B">
      <w:pPr>
        <w:pStyle w:val="Sangradetextonormal"/>
        <w:spacing w:after="0"/>
        <w:ind w:left="0"/>
        <w:jc w:val="both"/>
        <w:rPr>
          <w:rFonts w:ascii="Tahoma" w:hAnsi="Tahoma" w:cs="Tahoma"/>
          <w:sz w:val="21"/>
          <w:szCs w:val="21"/>
        </w:rPr>
      </w:pPr>
    </w:p>
    <w:p w:rsidR="00BD5DE4" w:rsidRPr="00623A01" w:rsidRDefault="00BD5DE4" w:rsidP="00BD5DE4">
      <w:pPr>
        <w:pStyle w:val="Prrafodelista"/>
        <w:numPr>
          <w:ilvl w:val="0"/>
          <w:numId w:val="4"/>
        </w:numPr>
        <w:ind w:left="567" w:hanging="567"/>
        <w:jc w:val="both"/>
        <w:rPr>
          <w:rFonts w:ascii="Tahoma" w:hAnsi="Tahoma" w:cs="Tahoma"/>
          <w:sz w:val="21"/>
          <w:szCs w:val="21"/>
        </w:rPr>
      </w:pPr>
      <w:r w:rsidRPr="00623A01">
        <w:rPr>
          <w:rFonts w:ascii="Tahoma" w:hAnsi="Tahoma" w:cs="Tahoma"/>
          <w:sz w:val="21"/>
          <w:szCs w:val="21"/>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BD5DE4" w:rsidRPr="00623A01" w:rsidRDefault="00BD5DE4" w:rsidP="00BD5DE4">
      <w:pPr>
        <w:pStyle w:val="Prrafodelista"/>
        <w:ind w:left="567"/>
        <w:rPr>
          <w:rFonts w:ascii="Tahoma" w:hAnsi="Tahoma" w:cs="Tahoma"/>
          <w:sz w:val="21"/>
          <w:szCs w:val="21"/>
        </w:rPr>
      </w:pPr>
    </w:p>
    <w:p w:rsidR="00BD5DE4" w:rsidRPr="00623A01" w:rsidRDefault="00BD5DE4" w:rsidP="00BD5DE4">
      <w:pPr>
        <w:pStyle w:val="Prrafodelista"/>
        <w:numPr>
          <w:ilvl w:val="0"/>
          <w:numId w:val="4"/>
        </w:numPr>
        <w:ind w:left="567" w:hanging="567"/>
        <w:jc w:val="both"/>
        <w:rPr>
          <w:rFonts w:ascii="Tahoma" w:hAnsi="Tahoma" w:cs="Tahoma"/>
          <w:sz w:val="21"/>
          <w:szCs w:val="21"/>
        </w:rPr>
      </w:pPr>
      <w:r w:rsidRPr="00623A01">
        <w:rPr>
          <w:rFonts w:ascii="Tahoma" w:hAnsi="Tahoma" w:cs="Tahoma"/>
          <w:sz w:val="21"/>
          <w:szCs w:val="21"/>
        </w:rPr>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w:t>
      </w:r>
      <w:r w:rsidRPr="00623A01">
        <w:rPr>
          <w:rFonts w:ascii="Tahoma" w:hAnsi="Tahoma" w:cs="Tahoma"/>
          <w:sz w:val="21"/>
          <w:szCs w:val="21"/>
          <w:lang w:val="es-MX"/>
        </w:rPr>
        <w:t>51 y 52 de la Ley de Contrataciones del Estado,</w:t>
      </w:r>
      <w:r w:rsidRPr="00623A01">
        <w:rPr>
          <w:rFonts w:ascii="Tahoma" w:hAnsi="Tahoma" w:cs="Tahoma"/>
          <w:sz w:val="21"/>
          <w:szCs w:val="21"/>
        </w:rPr>
        <w:t xml:space="preserve"> aprobada mediante Decreto Legislativo № 1017,</w:t>
      </w:r>
      <w:r w:rsidRPr="00623A01">
        <w:rPr>
          <w:rFonts w:ascii="Tahoma" w:hAnsi="Tahoma" w:cs="Tahoma"/>
          <w:sz w:val="21"/>
          <w:szCs w:val="21"/>
          <w:lang w:val="es-MX"/>
        </w:rPr>
        <w:t xml:space="preserve"> </w:t>
      </w:r>
      <w:r w:rsidRPr="00623A01">
        <w:rPr>
          <w:rFonts w:ascii="Tahoma" w:hAnsi="Tahoma" w:cs="Tahoma"/>
          <w:sz w:val="21"/>
          <w:szCs w:val="21"/>
        </w:rPr>
        <w:t>norma aplicable al momento de la presunta comisión de la infracción</w:t>
      </w:r>
      <w:r w:rsidRPr="00623A01">
        <w:rPr>
          <w:rFonts w:ascii="Tahoma" w:hAnsi="Tahoma" w:cs="Tahoma"/>
          <w:sz w:val="21"/>
          <w:szCs w:val="21"/>
          <w:lang w:val="es-MX"/>
        </w:rPr>
        <w:t xml:space="preserve">, y en los casos expresamente previstos en el artículo 237 de su Reglamento, aprobado mediante Decreto Supremo </w:t>
      </w:r>
      <w:r w:rsidRPr="00623A01">
        <w:rPr>
          <w:rFonts w:ascii="Tahoma" w:hAnsi="Tahoma" w:cs="Tahoma"/>
          <w:sz w:val="21"/>
          <w:szCs w:val="21"/>
        </w:rPr>
        <w:t xml:space="preserve">№ 184-2008-EF, </w:t>
      </w:r>
      <w:r w:rsidRPr="00623A01">
        <w:rPr>
          <w:rFonts w:ascii="Tahoma" w:hAnsi="Tahoma" w:cs="Tahoma"/>
          <w:sz w:val="21"/>
          <w:szCs w:val="21"/>
          <w:lang w:val="es-MX"/>
        </w:rPr>
        <w:t>sin perjuicio de las acciones legales que correspondan adoptar a la Entidades, dentro de sus respectivas atribuciones, en salvaguarda de sus intereses</w:t>
      </w:r>
      <w:r w:rsidRPr="00623A01">
        <w:rPr>
          <w:rFonts w:ascii="Tahoma" w:hAnsi="Tahoma" w:cs="Tahoma"/>
          <w:sz w:val="21"/>
          <w:szCs w:val="21"/>
        </w:rPr>
        <w:t>.</w:t>
      </w:r>
    </w:p>
    <w:p w:rsidR="00BD5DE4" w:rsidRPr="00623A01" w:rsidRDefault="00BD5DE4" w:rsidP="00BD5DE4">
      <w:pPr>
        <w:pStyle w:val="Prrafodelista"/>
        <w:rPr>
          <w:rFonts w:ascii="Tahoma" w:hAnsi="Tahoma" w:cs="Tahoma"/>
          <w:sz w:val="21"/>
          <w:szCs w:val="21"/>
        </w:rPr>
      </w:pPr>
    </w:p>
    <w:p w:rsidR="00BD5DE4" w:rsidRPr="00623A01" w:rsidRDefault="00BD5DE4" w:rsidP="00BD5DE4">
      <w:pPr>
        <w:pStyle w:val="Prrafodelista"/>
        <w:numPr>
          <w:ilvl w:val="0"/>
          <w:numId w:val="4"/>
        </w:numPr>
        <w:ind w:left="567" w:hanging="567"/>
        <w:jc w:val="both"/>
        <w:rPr>
          <w:rFonts w:ascii="Tahoma" w:hAnsi="Tahoma" w:cs="Tahoma"/>
          <w:sz w:val="21"/>
          <w:szCs w:val="21"/>
        </w:rPr>
      </w:pPr>
      <w:r w:rsidRPr="00623A01">
        <w:rPr>
          <w:rFonts w:ascii="Tahoma" w:hAnsi="Tahoma" w:cs="Tahoma"/>
          <w:sz w:val="21"/>
          <w:szCs w:val="21"/>
        </w:rPr>
        <w:t xml:space="preserve">El presente caso está referido a la supuesta responsabilidad del Contratista por el incumplimiento injustificado de las obligaciones del Contrato № ES-C-130-2009 de fecha 30 de noviembre de 2009, derivado de la Adjudicación de Menor Cuantía № 084-2009-ES, primera convocatoria, derivado de la Adjudicación Directa Selectiva № </w:t>
      </w:r>
      <w:r w:rsidRPr="00623A01">
        <w:rPr>
          <w:rFonts w:ascii="Tahoma" w:hAnsi="Tahoma" w:cs="Tahoma"/>
          <w:sz w:val="21"/>
          <w:szCs w:val="21"/>
        </w:rPr>
        <w:lastRenderedPageBreak/>
        <w:t>041-2009-ES, supuesto de hecho del tipo legal previsto en el literal b) del numeral 51.1 del artículo 51 de la Ley</w:t>
      </w:r>
      <w:r w:rsidRPr="00623A01">
        <w:rPr>
          <w:rStyle w:val="Refdenotaalpie"/>
          <w:rFonts w:ascii="Tahoma" w:hAnsi="Tahoma" w:cs="Tahoma"/>
          <w:sz w:val="21"/>
          <w:szCs w:val="21"/>
        </w:rPr>
        <w:footnoteReference w:id="2"/>
      </w:r>
      <w:r w:rsidRPr="00623A01">
        <w:rPr>
          <w:rFonts w:ascii="Tahoma" w:hAnsi="Tahoma" w:cs="Tahoma"/>
          <w:sz w:val="21"/>
          <w:szCs w:val="21"/>
        </w:rPr>
        <w:t xml:space="preserve"> en concordancia con el literal b) del numeral 1) del artículo 237 del Reglamento</w:t>
      </w:r>
      <w:r w:rsidRPr="00623A01">
        <w:rPr>
          <w:rStyle w:val="Refdenotaalpie"/>
          <w:rFonts w:ascii="Tahoma" w:hAnsi="Tahoma" w:cs="Tahoma"/>
          <w:sz w:val="21"/>
          <w:szCs w:val="21"/>
        </w:rPr>
        <w:footnoteReference w:id="3"/>
      </w:r>
      <w:r w:rsidRPr="00623A01">
        <w:rPr>
          <w:rFonts w:ascii="Tahoma" w:hAnsi="Tahoma" w:cs="Tahoma"/>
          <w:sz w:val="21"/>
          <w:szCs w:val="21"/>
        </w:rPr>
        <w:t>, norma vigente al momento de suscitado el hecho imputado.</w:t>
      </w:r>
    </w:p>
    <w:p w:rsidR="00BD5DE4" w:rsidRPr="00623A01" w:rsidRDefault="00BD5DE4" w:rsidP="00BD5DE4">
      <w:pPr>
        <w:pStyle w:val="Prrafodelista"/>
        <w:rPr>
          <w:rFonts w:ascii="Tahoma" w:hAnsi="Tahoma" w:cs="Tahoma"/>
          <w:sz w:val="21"/>
          <w:szCs w:val="21"/>
        </w:rPr>
      </w:pPr>
    </w:p>
    <w:p w:rsidR="00BD5DE4" w:rsidRPr="00623A01" w:rsidRDefault="00BD5DE4" w:rsidP="00BD5DE4">
      <w:pPr>
        <w:pStyle w:val="Prrafodelista"/>
        <w:numPr>
          <w:ilvl w:val="0"/>
          <w:numId w:val="4"/>
        </w:numPr>
        <w:ind w:left="567" w:hanging="567"/>
        <w:jc w:val="both"/>
        <w:rPr>
          <w:rFonts w:ascii="Tahoma" w:hAnsi="Tahoma" w:cs="Tahoma"/>
          <w:sz w:val="21"/>
          <w:szCs w:val="21"/>
        </w:rPr>
      </w:pPr>
      <w:r w:rsidRPr="00623A01">
        <w:rPr>
          <w:rFonts w:ascii="Tahoma" w:hAnsi="Tahoma" w:cs="Tahoma"/>
          <w:sz w:val="21"/>
          <w:szCs w:val="21"/>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 la Contratista.</w:t>
      </w:r>
    </w:p>
    <w:p w:rsidR="00BD5DE4" w:rsidRPr="00623A01" w:rsidRDefault="00BD5DE4" w:rsidP="00BD5DE4">
      <w:pPr>
        <w:pStyle w:val="Prrafodelista"/>
        <w:rPr>
          <w:rFonts w:ascii="Tahoma" w:hAnsi="Tahoma" w:cs="Tahoma"/>
          <w:sz w:val="21"/>
          <w:szCs w:val="21"/>
        </w:rPr>
      </w:pPr>
    </w:p>
    <w:p w:rsidR="00BD5DE4" w:rsidRPr="00623A01" w:rsidRDefault="00BD5DE4" w:rsidP="00BD5DE4">
      <w:pPr>
        <w:pStyle w:val="Prrafodelista"/>
        <w:numPr>
          <w:ilvl w:val="0"/>
          <w:numId w:val="4"/>
        </w:numPr>
        <w:ind w:left="567" w:hanging="567"/>
        <w:jc w:val="both"/>
        <w:rPr>
          <w:rFonts w:ascii="Tahoma" w:hAnsi="Tahoma" w:cs="Tahoma"/>
          <w:sz w:val="21"/>
          <w:szCs w:val="21"/>
        </w:rPr>
      </w:pPr>
      <w:r w:rsidRPr="00623A01">
        <w:rPr>
          <w:rFonts w:ascii="Tahoma" w:hAnsi="Tahoma" w:cs="Tahoma"/>
          <w:sz w:val="21"/>
          <w:szCs w:val="21"/>
        </w:rPr>
        <w:t>Sobre el particular, el artículo 168 del Reglamento prescribe las causales de resolución por incumplimiento, siendo que la Entidad podrá resolver el contrato cuando el Contratista: 1) Incumpla injustificadamente obligaciones contractuales, legales o reglamentarias a su cargo, pese a haber sido requerido para ello; 2) Haya acumulado el monto máximo de la penalidad por mora o el monto máximo para otras penalidades, en la ejecución de la prestación a su cargo; y 3) Paralice o reduzca injustificadamente la ejecución de la prestación, pese a haber sido requerido para corregir tal situación.</w:t>
      </w:r>
    </w:p>
    <w:p w:rsidR="00BD5DE4" w:rsidRPr="00623A01" w:rsidRDefault="00BD5DE4" w:rsidP="00BD5DE4">
      <w:pPr>
        <w:pStyle w:val="Prrafodelista"/>
        <w:rPr>
          <w:rFonts w:ascii="Tahoma" w:hAnsi="Tahoma" w:cs="Tahoma"/>
          <w:sz w:val="21"/>
          <w:szCs w:val="21"/>
        </w:rPr>
      </w:pPr>
    </w:p>
    <w:p w:rsidR="00BD5DE4" w:rsidRPr="00623A01" w:rsidRDefault="00BD5DE4" w:rsidP="00BD5DE4">
      <w:pPr>
        <w:pStyle w:val="Prrafodelista"/>
        <w:numPr>
          <w:ilvl w:val="0"/>
          <w:numId w:val="4"/>
        </w:numPr>
        <w:ind w:left="567" w:hanging="567"/>
        <w:jc w:val="both"/>
        <w:rPr>
          <w:rFonts w:ascii="Tahoma" w:hAnsi="Tahoma" w:cs="Tahoma"/>
          <w:sz w:val="21"/>
          <w:szCs w:val="21"/>
        </w:rPr>
      </w:pPr>
      <w:r w:rsidRPr="00623A01">
        <w:rPr>
          <w:rFonts w:ascii="Tahoma" w:hAnsi="Tahoma" w:cs="Tahoma"/>
          <w:sz w:val="21"/>
          <w:szCs w:val="21"/>
        </w:rPr>
        <w:t xml:space="preserve">Ahora bien, el procedimiento de resolución contractual, cuya observancia es condición necesaria para evaluar la existencia de eventuales responsabilidades de carácter administrativo, se encuentra previsto en el </w:t>
      </w:r>
      <w:r w:rsidRPr="00623A01">
        <w:rPr>
          <w:rFonts w:ascii="Tahoma" w:hAnsi="Tahoma" w:cs="Tahoma"/>
          <w:sz w:val="21"/>
          <w:szCs w:val="21"/>
          <w:u w:val="single"/>
        </w:rPr>
        <w:t>artículo 169 del Reglamento, según el cual en caso de incumplimiento contractual de una de las partes involucradas, la parte que resulte perjudicada con tal hecho requerirá a la otra notarialmente para que satisfaga sus obligaciones en un plazo no mayor de cinco (5) días, bajo apercibimiento de resolver el contrato.</w:t>
      </w:r>
      <w:r w:rsidRPr="00623A01">
        <w:rPr>
          <w:rFonts w:ascii="Tahoma" w:hAnsi="Tahoma" w:cs="Tahoma"/>
          <w:sz w:val="21"/>
          <w:szCs w:val="21"/>
        </w:rPr>
        <w:t xml:space="preserve"> De continuar el incumplimiento contractual, la citada disposición reglamentaria precisa que la parte perjudicada comunicará notarialmente la resolución total o parcial del contrato. (el subrayado es nuestro)</w:t>
      </w:r>
    </w:p>
    <w:p w:rsidR="00BD5DE4" w:rsidRPr="00623A01" w:rsidRDefault="00BD5DE4" w:rsidP="00BD5DE4">
      <w:pPr>
        <w:pStyle w:val="Prrafodelista"/>
        <w:rPr>
          <w:rFonts w:ascii="Tahoma" w:hAnsi="Tahoma" w:cs="Tahoma"/>
          <w:sz w:val="21"/>
          <w:szCs w:val="21"/>
        </w:rPr>
      </w:pPr>
    </w:p>
    <w:p w:rsidR="00BD5DE4" w:rsidRPr="00623A01" w:rsidRDefault="00BD5DE4" w:rsidP="00BD5DE4">
      <w:pPr>
        <w:pStyle w:val="Prrafodelista"/>
        <w:numPr>
          <w:ilvl w:val="0"/>
          <w:numId w:val="4"/>
        </w:numPr>
        <w:ind w:left="567" w:hanging="567"/>
        <w:jc w:val="both"/>
        <w:rPr>
          <w:rFonts w:ascii="Tahoma" w:hAnsi="Tahoma" w:cs="Tahoma"/>
          <w:sz w:val="21"/>
          <w:szCs w:val="21"/>
        </w:rPr>
      </w:pPr>
      <w:r w:rsidRPr="00623A01">
        <w:rPr>
          <w:rFonts w:ascii="Tahoma" w:hAnsi="Tahoma" w:cs="Tahoma"/>
          <w:sz w:val="21"/>
          <w:szCs w:val="21"/>
        </w:rPr>
        <w:t xml:space="preserve">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w:t>
      </w:r>
      <w:r w:rsidRPr="00623A01">
        <w:rPr>
          <w:rFonts w:ascii="Tahoma" w:hAnsi="Tahoma" w:cs="Tahoma"/>
          <w:sz w:val="21"/>
          <w:szCs w:val="21"/>
        </w:rPr>
        <w:lastRenderedPageBreak/>
        <w:t>resuelto el contrato en observancia de las normas citadas, la conducta no será pasible de sanción.</w:t>
      </w:r>
    </w:p>
    <w:p w:rsidR="00BD5DE4" w:rsidRPr="00623A01" w:rsidRDefault="00BD5DE4" w:rsidP="00BD5DE4">
      <w:pPr>
        <w:pStyle w:val="Prrafodelista"/>
        <w:rPr>
          <w:rFonts w:ascii="Tahoma" w:hAnsi="Tahoma" w:cs="Tahoma"/>
          <w:sz w:val="21"/>
          <w:szCs w:val="21"/>
        </w:rPr>
      </w:pPr>
    </w:p>
    <w:p w:rsidR="00BD5DE4" w:rsidRPr="00623A01" w:rsidRDefault="00BD5DE4" w:rsidP="00BD5DE4">
      <w:pPr>
        <w:pStyle w:val="Prrafodelista"/>
        <w:numPr>
          <w:ilvl w:val="0"/>
          <w:numId w:val="4"/>
        </w:numPr>
        <w:ind w:left="567" w:hanging="567"/>
        <w:jc w:val="both"/>
        <w:rPr>
          <w:rFonts w:ascii="Tahoma" w:hAnsi="Tahoma" w:cs="Tahoma"/>
          <w:sz w:val="21"/>
          <w:szCs w:val="21"/>
        </w:rPr>
      </w:pPr>
      <w:r w:rsidRPr="00623A01">
        <w:rPr>
          <w:rFonts w:ascii="Tahoma" w:hAnsi="Tahoma" w:cs="Tahoma"/>
          <w:sz w:val="21"/>
          <w:szCs w:val="21"/>
        </w:rPr>
        <w:t>Este criterio, además, ha sido recogido en el Acuerdo de Sala Plena № 018/010 del 4 de setiembre de 2002</w:t>
      </w:r>
      <w:r w:rsidRPr="00623A01">
        <w:rPr>
          <w:rStyle w:val="Refdenotaalpie"/>
          <w:rFonts w:ascii="Tahoma" w:hAnsi="Tahoma" w:cs="Tahoma"/>
          <w:sz w:val="21"/>
          <w:szCs w:val="21"/>
        </w:rPr>
        <w:footnoteReference w:id="4"/>
      </w:r>
      <w:r w:rsidRPr="00623A01">
        <w:rPr>
          <w:rFonts w:ascii="Tahoma" w:hAnsi="Tahoma" w:cs="Tahoma"/>
          <w:sz w:val="21"/>
          <w:szCs w:val="21"/>
        </w:rPr>
        <w:t>, en el que el Tribunal expresamente dispuso que, para la imposición de sanción por la causal que nos ocupa, las Entidades denunciantes deberán presentar la documentación que acredite haber dado cumplimiento al procedimiento de resolución antes expuesto, es decir el envío de la carta notarial de requerimiento previo al Contratista para el cumplimiento de la obligación y la carta notarial mediante la cual se le comunica el Acuerdo o Resolución que resuelve el contrato, agregando que en caso de no habérsele requerido o cuando, habiendo sido solicitados los documentos acreditativos por el Tribunal, estos no hubiesen sido presentados, se declarará no ha lugar al inicio del procedimiento administrativo sancionador, disponiéndose el archivamiento del expediente, al haberse incumplido con el debido procedimiento.</w:t>
      </w:r>
    </w:p>
    <w:p w:rsidR="00BD5DE4" w:rsidRPr="00623A01" w:rsidRDefault="00BD5DE4" w:rsidP="00BD5DE4">
      <w:pPr>
        <w:pStyle w:val="Prrafodelista"/>
        <w:rPr>
          <w:rFonts w:ascii="Tahoma" w:hAnsi="Tahoma" w:cs="Tahoma"/>
          <w:sz w:val="21"/>
          <w:szCs w:val="21"/>
        </w:rPr>
      </w:pPr>
    </w:p>
    <w:p w:rsidR="00BD5DE4" w:rsidRPr="00623A01" w:rsidRDefault="00BD5DE4" w:rsidP="00BD5DE4">
      <w:pPr>
        <w:pStyle w:val="Prrafodelista"/>
        <w:numPr>
          <w:ilvl w:val="0"/>
          <w:numId w:val="4"/>
        </w:numPr>
        <w:ind w:left="567" w:hanging="567"/>
        <w:jc w:val="both"/>
        <w:rPr>
          <w:rFonts w:ascii="Tahoma" w:hAnsi="Tahoma" w:cs="Tahoma"/>
          <w:sz w:val="21"/>
          <w:szCs w:val="21"/>
        </w:rPr>
      </w:pPr>
      <w:r w:rsidRPr="00623A01">
        <w:rPr>
          <w:rFonts w:ascii="Tahoma" w:hAnsi="Tahoma" w:cs="Tahoma"/>
          <w:sz w:val="21"/>
          <w:szCs w:val="21"/>
        </w:rPr>
        <w:t xml:space="preserve">En ese orden de ideas, corresponde determinar de manera previa si la Entidad ha seguido el debido procedimiento para la resolución de la citada orden de compra, conforme a lo previsto en los artículos 168 y 169 del Reglamento. </w:t>
      </w:r>
    </w:p>
    <w:p w:rsidR="00BD5DE4" w:rsidRPr="00623A01" w:rsidRDefault="00BD5DE4" w:rsidP="00BD5DE4">
      <w:pPr>
        <w:pStyle w:val="Prrafodelista"/>
        <w:rPr>
          <w:rFonts w:ascii="Tahoma" w:hAnsi="Tahoma" w:cs="Tahoma"/>
          <w:sz w:val="21"/>
          <w:szCs w:val="21"/>
        </w:rPr>
      </w:pPr>
    </w:p>
    <w:p w:rsidR="00BD5DE4" w:rsidRPr="00623A01" w:rsidRDefault="00BD5DE4" w:rsidP="00BD5DE4">
      <w:pPr>
        <w:pStyle w:val="Prrafodelista"/>
        <w:numPr>
          <w:ilvl w:val="0"/>
          <w:numId w:val="4"/>
        </w:numPr>
        <w:ind w:left="567" w:hanging="567"/>
        <w:jc w:val="both"/>
        <w:rPr>
          <w:rFonts w:ascii="Tahoma" w:hAnsi="Tahoma" w:cs="Tahoma"/>
          <w:sz w:val="21"/>
          <w:szCs w:val="21"/>
        </w:rPr>
      </w:pPr>
      <w:r w:rsidRPr="00623A01">
        <w:rPr>
          <w:rFonts w:ascii="Tahoma" w:hAnsi="Tahoma" w:cs="Tahoma"/>
          <w:sz w:val="21"/>
          <w:szCs w:val="21"/>
        </w:rPr>
        <w:t>Sobre el particular, de la documentación obrante en autos, se observa que la Entidad remitió a la Contratista, vía conducto notarial, dos (2) comunicaciones:</w:t>
      </w:r>
    </w:p>
    <w:p w:rsidR="00BD5DE4" w:rsidRPr="00623A01" w:rsidRDefault="00BD5DE4" w:rsidP="00BD5DE4">
      <w:pPr>
        <w:pStyle w:val="Prrafodelista"/>
        <w:rPr>
          <w:rFonts w:ascii="Tahoma" w:hAnsi="Tahoma" w:cs="Tahoma"/>
          <w:sz w:val="21"/>
          <w:szCs w:val="21"/>
        </w:rPr>
      </w:pPr>
    </w:p>
    <w:p w:rsidR="00BD5DE4" w:rsidRPr="00623A01" w:rsidRDefault="00BD5DE4" w:rsidP="00BD5DE4">
      <w:pPr>
        <w:numPr>
          <w:ilvl w:val="0"/>
          <w:numId w:val="28"/>
        </w:numPr>
        <w:ind w:left="1134" w:hanging="567"/>
        <w:jc w:val="both"/>
        <w:rPr>
          <w:rFonts w:ascii="Tahoma" w:hAnsi="Tahoma" w:cs="Tahoma"/>
          <w:sz w:val="21"/>
          <w:szCs w:val="21"/>
        </w:rPr>
      </w:pPr>
      <w:r w:rsidRPr="00623A01">
        <w:rPr>
          <w:rFonts w:ascii="Tahoma" w:hAnsi="Tahoma" w:cs="Tahoma"/>
          <w:sz w:val="21"/>
          <w:szCs w:val="21"/>
        </w:rPr>
        <w:t>A través de la Carta № G-1409-2009 de fecha 17 de diciembre de 2009, notificada vía conducto notarial el mismo día, mes y año, la Entidad requirió a la Contratista el cumplimiento de sus obligaciones contractuales descritas en el literal e) de la Cláusula Novena del Contrato № ES-C-130-2009, toda vez que el día 02 de diciembre del 2009, no hizo efectivo el recojo y entrega de la valija para las ciudades de Ilo y Moquegua en el horario establecido por la Entidad; precisando que de continuar con el incumplimiento se procedería a la resolución contractual.</w:t>
      </w:r>
    </w:p>
    <w:p w:rsidR="00BD5DE4" w:rsidRPr="00623A01" w:rsidRDefault="00BD5DE4" w:rsidP="00BD5DE4">
      <w:pPr>
        <w:pStyle w:val="Prrafodelista"/>
        <w:ind w:left="1134" w:hanging="567"/>
        <w:rPr>
          <w:rFonts w:ascii="Tahoma" w:hAnsi="Tahoma" w:cs="Tahoma"/>
          <w:sz w:val="21"/>
          <w:szCs w:val="21"/>
        </w:rPr>
      </w:pPr>
    </w:p>
    <w:p w:rsidR="00BD5DE4" w:rsidRPr="00623A01" w:rsidRDefault="00BD5DE4" w:rsidP="00BD5DE4">
      <w:pPr>
        <w:numPr>
          <w:ilvl w:val="0"/>
          <w:numId w:val="28"/>
        </w:numPr>
        <w:ind w:left="1134" w:hanging="567"/>
        <w:jc w:val="both"/>
        <w:rPr>
          <w:rFonts w:ascii="Tahoma" w:hAnsi="Tahoma" w:cs="Tahoma"/>
          <w:sz w:val="21"/>
          <w:szCs w:val="21"/>
        </w:rPr>
      </w:pPr>
      <w:r w:rsidRPr="00623A01">
        <w:rPr>
          <w:rFonts w:ascii="Tahoma" w:hAnsi="Tahoma" w:cs="Tahoma"/>
          <w:sz w:val="21"/>
          <w:szCs w:val="21"/>
        </w:rPr>
        <w:t>A través de la Carta № G-A-493-2010 de fecha 13 de mayo de 2010, diligenciada notarialmente el mismo día, mes y año, la Entidad comunicó a la Contratista la resolución del vínculo contractual, por causal atribuible a su parte.</w:t>
      </w:r>
    </w:p>
    <w:p w:rsidR="00BD5DE4" w:rsidRPr="00623A01" w:rsidRDefault="00BD5DE4" w:rsidP="00BD5DE4">
      <w:pPr>
        <w:pStyle w:val="Prrafodelista"/>
        <w:ind w:left="567"/>
        <w:rPr>
          <w:rFonts w:ascii="Tahoma" w:hAnsi="Tahoma" w:cs="Tahoma"/>
          <w:sz w:val="21"/>
          <w:szCs w:val="21"/>
        </w:rPr>
      </w:pPr>
    </w:p>
    <w:p w:rsidR="00BD5DE4" w:rsidRPr="00623A01" w:rsidRDefault="00BD5DE4" w:rsidP="00BD5DE4">
      <w:pPr>
        <w:pStyle w:val="Prrafodelista"/>
        <w:numPr>
          <w:ilvl w:val="0"/>
          <w:numId w:val="4"/>
        </w:numPr>
        <w:tabs>
          <w:tab w:val="left" w:pos="8280"/>
        </w:tabs>
        <w:ind w:left="567" w:hanging="567"/>
        <w:contextualSpacing w:val="0"/>
        <w:jc w:val="both"/>
        <w:rPr>
          <w:rFonts w:ascii="Tahoma" w:hAnsi="Tahoma" w:cs="Tahoma"/>
          <w:sz w:val="21"/>
          <w:szCs w:val="21"/>
        </w:rPr>
      </w:pPr>
      <w:r w:rsidRPr="00623A01">
        <w:rPr>
          <w:rFonts w:ascii="Tahoma" w:hAnsi="Tahoma" w:cs="Tahoma"/>
          <w:sz w:val="21"/>
          <w:szCs w:val="21"/>
        </w:rPr>
        <w:t>De lo expuesto, se verifica que en la primera carta notarial la Entidad no otorgó a la Contratista el plazo obligatorio para el cumplimiento de sus obligaciones conforme lo indica el primer párrafo del artículo 168 del Reglamento cuando establece expresamente que, se requerirá notarialmente para que satisfaga sus obligaciones en un</w:t>
      </w:r>
      <w:r w:rsidRPr="00623A01">
        <w:rPr>
          <w:rFonts w:ascii="Tahoma" w:hAnsi="Tahoma" w:cs="Tahoma"/>
          <w:sz w:val="21"/>
          <w:szCs w:val="21"/>
          <w:u w:val="single"/>
        </w:rPr>
        <w:t xml:space="preserve"> plazo no mayor de cinco (5) días</w:t>
      </w:r>
      <w:r w:rsidRPr="00623A01">
        <w:rPr>
          <w:rFonts w:ascii="Tahoma" w:hAnsi="Tahoma" w:cs="Tahoma"/>
          <w:sz w:val="21"/>
          <w:szCs w:val="21"/>
        </w:rPr>
        <w:t xml:space="preserve">, </w:t>
      </w:r>
      <w:r w:rsidRPr="00623A01">
        <w:rPr>
          <w:rFonts w:ascii="Tahoma" w:hAnsi="Tahoma" w:cs="Tahoma"/>
          <w:sz w:val="21"/>
          <w:szCs w:val="21"/>
          <w:u w:val="single"/>
        </w:rPr>
        <w:t>bajo apercibimiento de resolver el contrato</w:t>
      </w:r>
      <w:r w:rsidRPr="00623A01">
        <w:rPr>
          <w:rFonts w:ascii="Tahoma" w:hAnsi="Tahoma" w:cs="Tahoma"/>
          <w:sz w:val="21"/>
          <w:szCs w:val="21"/>
        </w:rPr>
        <w:t xml:space="preserve">; lo </w:t>
      </w:r>
      <w:r w:rsidRPr="00623A01">
        <w:rPr>
          <w:rFonts w:ascii="Tahoma" w:hAnsi="Tahoma" w:cs="Tahoma"/>
          <w:sz w:val="21"/>
          <w:szCs w:val="21"/>
        </w:rPr>
        <w:lastRenderedPageBreak/>
        <w:t>que no observó la Entidad al no  haber otorgado a la Contratista un plazo determinado para el cumplimiento de sus obligaciones contractuales.</w:t>
      </w:r>
    </w:p>
    <w:p w:rsidR="00BD5DE4" w:rsidRPr="00623A01" w:rsidRDefault="00BD5DE4" w:rsidP="00BD5DE4">
      <w:pPr>
        <w:tabs>
          <w:tab w:val="left" w:pos="8280"/>
        </w:tabs>
        <w:ind w:left="567"/>
        <w:rPr>
          <w:rFonts w:ascii="Tahoma" w:hAnsi="Tahoma" w:cs="Tahoma"/>
          <w:sz w:val="21"/>
          <w:szCs w:val="21"/>
        </w:rPr>
      </w:pPr>
    </w:p>
    <w:p w:rsidR="00BD5DE4" w:rsidRPr="00623A01" w:rsidRDefault="00BD5DE4" w:rsidP="00BD5DE4">
      <w:pPr>
        <w:numPr>
          <w:ilvl w:val="0"/>
          <w:numId w:val="4"/>
        </w:numPr>
        <w:tabs>
          <w:tab w:val="left" w:pos="8280"/>
        </w:tabs>
        <w:ind w:left="567" w:hanging="567"/>
        <w:jc w:val="both"/>
        <w:rPr>
          <w:rFonts w:ascii="Tahoma" w:hAnsi="Tahoma" w:cs="Tahoma"/>
          <w:sz w:val="21"/>
          <w:szCs w:val="21"/>
        </w:rPr>
      </w:pPr>
      <w:r w:rsidRPr="00623A01">
        <w:rPr>
          <w:rFonts w:ascii="Tahoma" w:hAnsi="Tahoma" w:cs="Tahoma"/>
          <w:sz w:val="21"/>
          <w:szCs w:val="21"/>
        </w:rPr>
        <w:t xml:space="preserve">Sobre el particular, el plazo que se otorga a la Contratista para el cumplimiento de las obligaciones es un requisito indispensable de verificación del cumplimiento del debido procedimiento de resolución de contrato, a fin que la acción del contratista de incumplir injustificadamente el contrato -que dio lugar a la resolución del contrato por causa atribuible a su parte- sea típica. </w:t>
      </w:r>
    </w:p>
    <w:p w:rsidR="00BD5DE4" w:rsidRPr="00623A01" w:rsidRDefault="00BD5DE4" w:rsidP="00BD5DE4">
      <w:pPr>
        <w:pStyle w:val="Prrafodelista"/>
        <w:rPr>
          <w:rFonts w:ascii="Tahoma" w:hAnsi="Tahoma" w:cs="Tahoma"/>
          <w:sz w:val="21"/>
          <w:szCs w:val="21"/>
        </w:rPr>
      </w:pPr>
    </w:p>
    <w:p w:rsidR="00BD5DE4" w:rsidRPr="00623A01" w:rsidRDefault="00BD5DE4" w:rsidP="00BD5DE4">
      <w:pPr>
        <w:numPr>
          <w:ilvl w:val="0"/>
          <w:numId w:val="4"/>
        </w:numPr>
        <w:tabs>
          <w:tab w:val="left" w:pos="8280"/>
        </w:tabs>
        <w:ind w:left="567" w:hanging="567"/>
        <w:jc w:val="both"/>
        <w:rPr>
          <w:rFonts w:ascii="Tahoma" w:hAnsi="Tahoma" w:cs="Tahoma"/>
          <w:sz w:val="21"/>
          <w:szCs w:val="21"/>
        </w:rPr>
      </w:pPr>
      <w:r w:rsidRPr="00623A01">
        <w:rPr>
          <w:rFonts w:ascii="Tahoma" w:hAnsi="Tahoma" w:cs="Tahoma"/>
          <w:sz w:val="21"/>
          <w:szCs w:val="21"/>
        </w:rPr>
        <w:t xml:space="preserve">Consecuentemente, dado que los hechos expuestos acreditan que la Entidad no ha observado el procedimiento previsto en los artículos 168 y 169 del mencionado Reglamento, condición </w:t>
      </w:r>
      <w:r w:rsidRPr="00623A01">
        <w:rPr>
          <w:rFonts w:ascii="Tahoma" w:hAnsi="Tahoma" w:cs="Tahoma"/>
          <w:i/>
          <w:sz w:val="21"/>
          <w:szCs w:val="21"/>
        </w:rPr>
        <w:t>sine qua non</w:t>
      </w:r>
      <w:r w:rsidRPr="00623A01">
        <w:rPr>
          <w:rFonts w:ascii="Tahoma" w:hAnsi="Tahoma" w:cs="Tahoma"/>
          <w:sz w:val="21"/>
          <w:szCs w:val="21"/>
        </w:rPr>
        <w:t xml:space="preserve"> para la configuración de la infracción imputada y, por ende, para la procedencia de la aplicación de sanción contra la Contratista, según lo establecido en el literal b) del numeral 51.1 del artículo 51 de la Ley en concordancia con el literal b) del numeral 1) del artículo 237 del Reglamento.</w:t>
      </w:r>
    </w:p>
    <w:p w:rsidR="00BD5DE4" w:rsidRPr="00623A01" w:rsidRDefault="00BD5DE4" w:rsidP="00BD5DE4">
      <w:pPr>
        <w:pStyle w:val="Prrafodelista"/>
        <w:rPr>
          <w:rFonts w:ascii="Tahoma" w:hAnsi="Tahoma" w:cs="Tahoma"/>
          <w:sz w:val="21"/>
          <w:szCs w:val="21"/>
        </w:rPr>
      </w:pPr>
    </w:p>
    <w:p w:rsidR="00BD5DE4" w:rsidRPr="00623A01" w:rsidRDefault="00BD5DE4" w:rsidP="00BD5DE4">
      <w:pPr>
        <w:numPr>
          <w:ilvl w:val="0"/>
          <w:numId w:val="4"/>
        </w:numPr>
        <w:tabs>
          <w:tab w:val="left" w:pos="8280"/>
        </w:tabs>
        <w:ind w:left="567" w:hanging="567"/>
        <w:jc w:val="both"/>
        <w:rPr>
          <w:rFonts w:ascii="Tahoma" w:hAnsi="Tahoma" w:cs="Tahoma"/>
          <w:sz w:val="21"/>
          <w:szCs w:val="21"/>
        </w:rPr>
      </w:pPr>
      <w:r w:rsidRPr="00623A01">
        <w:rPr>
          <w:rFonts w:ascii="Tahoma" w:hAnsi="Tahoma" w:cs="Tahoma"/>
          <w:sz w:val="21"/>
          <w:szCs w:val="21"/>
        </w:rPr>
        <w:t xml:space="preserve">Por lo expuesto y, en estricta observancia del </w:t>
      </w:r>
      <w:r w:rsidRPr="00623A01">
        <w:rPr>
          <w:rFonts w:ascii="Tahoma" w:hAnsi="Tahoma" w:cs="Tahoma"/>
          <w:i/>
          <w:sz w:val="21"/>
          <w:szCs w:val="21"/>
        </w:rPr>
        <w:t>Principio de Tipicidad</w:t>
      </w:r>
      <w:r w:rsidRPr="00623A01">
        <w:rPr>
          <w:rFonts w:ascii="Tahoma" w:hAnsi="Tahoma" w:cs="Tahoma"/>
          <w:sz w:val="21"/>
          <w:szCs w:val="21"/>
        </w:rPr>
        <w:t xml:space="preserve"> previsto en el inciso 4 del artículo 230 de la Ley № 27444, del Procedimiento Administrativo General, conforme al cual las conductas expresamente descritas como sancionables no pueden admitir interpretación extensiva o analógica, mientras que el numeral 2 del mismo artículo hace referencia al </w:t>
      </w:r>
      <w:r w:rsidRPr="00623A01">
        <w:rPr>
          <w:rFonts w:ascii="Tahoma" w:hAnsi="Tahoma" w:cs="Tahoma"/>
          <w:i/>
          <w:sz w:val="21"/>
          <w:szCs w:val="21"/>
        </w:rPr>
        <w:t>Principio del Debido Procedimiento</w:t>
      </w:r>
      <w:r w:rsidRPr="00623A01">
        <w:rPr>
          <w:rFonts w:ascii="Tahoma" w:hAnsi="Tahoma" w:cs="Tahoma"/>
          <w:sz w:val="21"/>
          <w:szCs w:val="21"/>
        </w:rPr>
        <w:t>, por cuya virtud las Entidades aplicarán sanciones sujetando su actuación al procedimiento establecido, respetando las garantías inherentes al debido procedimiento.</w:t>
      </w:r>
    </w:p>
    <w:p w:rsidR="00BD5DE4" w:rsidRPr="00623A01" w:rsidRDefault="00BD5DE4" w:rsidP="00BD5DE4">
      <w:pPr>
        <w:pStyle w:val="Prrafodelista"/>
        <w:rPr>
          <w:rFonts w:ascii="Tahoma" w:hAnsi="Tahoma" w:cs="Tahoma"/>
          <w:sz w:val="21"/>
          <w:szCs w:val="21"/>
        </w:rPr>
      </w:pPr>
    </w:p>
    <w:p w:rsidR="00BD5DE4" w:rsidRPr="00623A01" w:rsidRDefault="00BD5DE4" w:rsidP="00BD5DE4">
      <w:pPr>
        <w:pStyle w:val="Prrafodelista"/>
        <w:numPr>
          <w:ilvl w:val="0"/>
          <w:numId w:val="4"/>
        </w:numPr>
        <w:ind w:left="540" w:hanging="567"/>
        <w:contextualSpacing w:val="0"/>
        <w:jc w:val="both"/>
        <w:rPr>
          <w:rFonts w:ascii="Tahoma" w:hAnsi="Tahoma" w:cs="Tahoma"/>
          <w:sz w:val="21"/>
          <w:szCs w:val="21"/>
        </w:rPr>
      </w:pPr>
      <w:r w:rsidRPr="00623A01">
        <w:rPr>
          <w:rFonts w:ascii="Tahoma" w:hAnsi="Tahoma" w:cs="Tahoma"/>
          <w:sz w:val="21"/>
          <w:szCs w:val="21"/>
        </w:rPr>
        <w:t>Por las consideraciones expuestas, este Colegiado considera que en el caso materia de autos no se ha acreditado la responsabilidad de la Contratista respecto del incumplimiento injustificado de obligaciones derivadas del Contrato № ES-C-130-2009, al no haberse configurado la infracción prevista en el literal b) del numeral 51.1 del artículo 51 de la Ley en concordancia con el literal b) del numeral 1) del artículo 237 del Reglamento, por lo que no corresponde imponerle sanción administrativa.</w:t>
      </w:r>
    </w:p>
    <w:p w:rsidR="001776B6" w:rsidRPr="00623A01" w:rsidRDefault="001776B6" w:rsidP="001776B6">
      <w:pPr>
        <w:pStyle w:val="Prrafodelista"/>
        <w:jc w:val="both"/>
        <w:rPr>
          <w:rFonts w:ascii="Tahoma" w:hAnsi="Tahoma" w:cs="Tahoma"/>
          <w:sz w:val="21"/>
          <w:szCs w:val="21"/>
        </w:rPr>
      </w:pPr>
    </w:p>
    <w:p w:rsidR="00DA127C" w:rsidRPr="00623A01" w:rsidRDefault="00DA127C" w:rsidP="00DA127C">
      <w:pPr>
        <w:ind w:left="567" w:firstLine="567"/>
        <w:jc w:val="both"/>
        <w:rPr>
          <w:rFonts w:ascii="Tahoma" w:hAnsi="Tahoma" w:cs="Tahoma"/>
          <w:sz w:val="21"/>
          <w:szCs w:val="21"/>
        </w:rPr>
      </w:pPr>
      <w:r w:rsidRPr="00623A01">
        <w:rPr>
          <w:rFonts w:ascii="Tahoma" w:hAnsi="Tahoma" w:cs="Tahoma"/>
          <w:color w:val="000000"/>
          <w:sz w:val="21"/>
          <w:szCs w:val="21"/>
        </w:rPr>
        <w:t xml:space="preserve">Por estos fundamentos, de conformidad con el informe del Vocal Ponente </w:t>
      </w:r>
      <w:r w:rsidRPr="00623A01">
        <w:rPr>
          <w:rFonts w:ascii="Tahoma" w:hAnsi="Tahoma" w:cs="Tahoma"/>
          <w:sz w:val="21"/>
          <w:szCs w:val="21"/>
        </w:rPr>
        <w:t>Doctor Carlos Vicente Navas Rondón</w:t>
      </w:r>
      <w:r w:rsidRPr="00623A01">
        <w:rPr>
          <w:rFonts w:ascii="Tahoma" w:hAnsi="Tahoma" w:cs="Tahoma"/>
          <w:color w:val="000000"/>
          <w:sz w:val="21"/>
          <w:szCs w:val="21"/>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13E6B" w:rsidRDefault="00E13E6B" w:rsidP="00E13E6B">
      <w:pPr>
        <w:jc w:val="both"/>
        <w:rPr>
          <w:rFonts w:ascii="Tahoma" w:hAnsi="Tahoma" w:cs="Tahoma"/>
          <w:sz w:val="21"/>
          <w:szCs w:val="21"/>
        </w:rPr>
      </w:pPr>
    </w:p>
    <w:p w:rsidR="00623A01" w:rsidRDefault="00623A01" w:rsidP="00E13E6B">
      <w:pPr>
        <w:jc w:val="both"/>
        <w:rPr>
          <w:rFonts w:ascii="Tahoma" w:hAnsi="Tahoma" w:cs="Tahoma"/>
          <w:sz w:val="21"/>
          <w:szCs w:val="21"/>
        </w:rPr>
      </w:pPr>
    </w:p>
    <w:p w:rsidR="00623A01" w:rsidRPr="00623A01" w:rsidRDefault="00623A01" w:rsidP="00E13E6B">
      <w:pPr>
        <w:jc w:val="both"/>
        <w:rPr>
          <w:rFonts w:ascii="Tahoma" w:hAnsi="Tahoma" w:cs="Tahoma"/>
          <w:sz w:val="21"/>
          <w:szCs w:val="21"/>
        </w:rPr>
      </w:pPr>
    </w:p>
    <w:p w:rsidR="00E13E6B" w:rsidRPr="00623A01" w:rsidRDefault="00E13E6B" w:rsidP="00E13E6B">
      <w:pPr>
        <w:ind w:firstLine="567"/>
        <w:jc w:val="both"/>
        <w:rPr>
          <w:rFonts w:ascii="Tahoma" w:hAnsi="Tahoma" w:cs="Tahoma"/>
          <w:b/>
          <w:sz w:val="21"/>
          <w:szCs w:val="21"/>
        </w:rPr>
      </w:pPr>
      <w:r w:rsidRPr="00623A01">
        <w:rPr>
          <w:rFonts w:ascii="Tahoma" w:hAnsi="Tahoma" w:cs="Tahoma"/>
          <w:b/>
          <w:sz w:val="21"/>
          <w:szCs w:val="21"/>
        </w:rPr>
        <w:lastRenderedPageBreak/>
        <w:t xml:space="preserve">LA SALA RESUELVE: </w:t>
      </w:r>
    </w:p>
    <w:p w:rsidR="00E13E6B" w:rsidRPr="00623A01" w:rsidRDefault="00E13E6B" w:rsidP="00E13E6B">
      <w:pPr>
        <w:ind w:left="400"/>
        <w:jc w:val="both"/>
        <w:rPr>
          <w:rFonts w:ascii="Tahoma" w:hAnsi="Tahoma" w:cs="Tahoma"/>
          <w:snapToGrid w:val="0"/>
          <w:sz w:val="21"/>
          <w:szCs w:val="21"/>
        </w:rPr>
      </w:pPr>
    </w:p>
    <w:p w:rsidR="00BD5DE4" w:rsidRPr="00623A01" w:rsidRDefault="00BD5DE4" w:rsidP="00BD5DE4">
      <w:pPr>
        <w:autoSpaceDE w:val="0"/>
        <w:autoSpaceDN w:val="0"/>
        <w:adjustRightInd w:val="0"/>
        <w:rPr>
          <w:rFonts w:ascii="Tahoma" w:hAnsi="Tahoma" w:cs="Tahoma"/>
          <w:color w:val="000000"/>
          <w:sz w:val="21"/>
          <w:szCs w:val="21"/>
        </w:rPr>
      </w:pPr>
    </w:p>
    <w:p w:rsidR="00BD5DE4" w:rsidRPr="00623A01" w:rsidRDefault="00BD5DE4" w:rsidP="00BD5DE4">
      <w:pPr>
        <w:pStyle w:val="Prrafodelista"/>
        <w:numPr>
          <w:ilvl w:val="1"/>
          <w:numId w:val="29"/>
        </w:numPr>
        <w:tabs>
          <w:tab w:val="clear" w:pos="1440"/>
          <w:tab w:val="num" w:pos="567"/>
          <w:tab w:val="left" w:pos="2160"/>
        </w:tabs>
        <w:ind w:left="567" w:hanging="567"/>
        <w:contextualSpacing w:val="0"/>
        <w:jc w:val="both"/>
        <w:rPr>
          <w:rFonts w:ascii="Tahoma" w:hAnsi="Tahoma" w:cs="Tahoma"/>
          <w:sz w:val="21"/>
          <w:szCs w:val="21"/>
        </w:rPr>
      </w:pPr>
      <w:r w:rsidRPr="00623A01">
        <w:rPr>
          <w:rFonts w:ascii="Tahoma" w:hAnsi="Tahoma" w:cs="Tahoma"/>
          <w:sz w:val="21"/>
          <w:szCs w:val="21"/>
        </w:rPr>
        <w:t>Declarar no ha lugar la imposición de sanción administrativa contra la señora ELIZABETH PAOLA CHAVEZ DILLERVA,  por su supuesta responsabilidad en la resolución Contrato № 005-2010-RMO de fecha 15 de abril de 2010, derivado de la Adjudicación de Menor Cuantía № 0001-2010-EP/UO 0860, infracción tipificada en el literal b) del numeral 51.1 del artículo 51 de la Ley en concordancia con el literal b) del numeral 1) del artículo 237 del Reglamento, por lo que corresponde archivar el presente expediente.</w:t>
      </w:r>
    </w:p>
    <w:p w:rsidR="00BD5DE4" w:rsidRPr="00623A01" w:rsidRDefault="00BD5DE4" w:rsidP="00BD5DE4">
      <w:pPr>
        <w:ind w:left="525"/>
        <w:rPr>
          <w:rFonts w:ascii="Tahoma" w:hAnsi="Tahoma" w:cs="Tahoma"/>
          <w:sz w:val="21"/>
          <w:szCs w:val="21"/>
        </w:rPr>
      </w:pPr>
    </w:p>
    <w:p w:rsidR="00BD5DE4" w:rsidRPr="00623A01" w:rsidRDefault="00BD5DE4" w:rsidP="00BD5DE4">
      <w:pPr>
        <w:pStyle w:val="Prrafodelista"/>
        <w:numPr>
          <w:ilvl w:val="1"/>
          <w:numId w:val="29"/>
        </w:numPr>
        <w:tabs>
          <w:tab w:val="clear" w:pos="1440"/>
          <w:tab w:val="num" w:pos="567"/>
          <w:tab w:val="left" w:pos="993"/>
        </w:tabs>
        <w:ind w:left="567" w:hanging="567"/>
        <w:jc w:val="both"/>
        <w:rPr>
          <w:rFonts w:ascii="Tahoma" w:hAnsi="Tahoma" w:cs="Tahoma"/>
          <w:sz w:val="21"/>
          <w:szCs w:val="21"/>
        </w:rPr>
      </w:pPr>
      <w:r w:rsidRPr="00623A01">
        <w:rPr>
          <w:rFonts w:ascii="Tahoma" w:hAnsi="Tahoma" w:cs="Tahoma"/>
          <w:sz w:val="21"/>
          <w:szCs w:val="21"/>
        </w:rPr>
        <w:t>Comunicar la presente Resolución en conocimiento del Órgano de Control Institucional de la Entidad para que, en mérito a sus atribuciones, adopte las medidas que estime pertinentes de acuerdo a lo manifestado en el numeral 13 de la presente Fundamentación.</w:t>
      </w:r>
    </w:p>
    <w:p w:rsidR="00BD5DE4" w:rsidRPr="00623A01" w:rsidRDefault="00BD5DE4" w:rsidP="00BD5DE4">
      <w:pPr>
        <w:ind w:left="525"/>
        <w:rPr>
          <w:rFonts w:ascii="Tahoma" w:hAnsi="Tahoma" w:cs="Tahoma"/>
          <w:b/>
          <w:sz w:val="21"/>
          <w:szCs w:val="21"/>
        </w:rPr>
      </w:pPr>
    </w:p>
    <w:p w:rsidR="00E13E6B" w:rsidRPr="00623A01" w:rsidRDefault="00E13E6B" w:rsidP="00E13E6B">
      <w:pPr>
        <w:pStyle w:val="Prrafodelista"/>
        <w:jc w:val="both"/>
        <w:rPr>
          <w:rFonts w:ascii="Tahoma" w:hAnsi="Tahoma" w:cs="Tahoma"/>
          <w:sz w:val="21"/>
          <w:szCs w:val="21"/>
        </w:rPr>
      </w:pPr>
    </w:p>
    <w:p w:rsidR="00E13E6B" w:rsidRPr="00623A01" w:rsidRDefault="00E13E6B" w:rsidP="00E13E6B">
      <w:pPr>
        <w:pStyle w:val="Textoindependiente21"/>
        <w:ind w:firstLine="360"/>
        <w:rPr>
          <w:rFonts w:cs="Tahoma"/>
          <w:sz w:val="21"/>
          <w:szCs w:val="21"/>
        </w:rPr>
      </w:pPr>
      <w:r w:rsidRPr="00623A01">
        <w:rPr>
          <w:rFonts w:cs="Tahoma"/>
          <w:sz w:val="21"/>
          <w:szCs w:val="21"/>
        </w:rPr>
        <w:t>Regístrese, comuníquese y publíquese.</w:t>
      </w:r>
    </w:p>
    <w:p w:rsidR="00E13E6B" w:rsidRPr="00623A01" w:rsidRDefault="00E13E6B" w:rsidP="00E13E6B">
      <w:pPr>
        <w:jc w:val="both"/>
        <w:rPr>
          <w:rFonts w:ascii="Tahoma" w:hAnsi="Tahoma" w:cs="Tahoma"/>
          <w:b/>
          <w:bCs/>
          <w:shadow/>
          <w:sz w:val="21"/>
          <w:szCs w:val="21"/>
        </w:rPr>
      </w:pPr>
    </w:p>
    <w:p w:rsidR="006E5BF8" w:rsidRPr="00623A01" w:rsidRDefault="006E5BF8" w:rsidP="00E13E6B">
      <w:pPr>
        <w:jc w:val="both"/>
        <w:rPr>
          <w:rFonts w:ascii="Tahoma" w:hAnsi="Tahoma" w:cs="Tahoma"/>
          <w:b/>
          <w:bCs/>
          <w:shadow/>
          <w:sz w:val="21"/>
          <w:szCs w:val="21"/>
        </w:rPr>
      </w:pPr>
    </w:p>
    <w:p w:rsidR="00DA127C" w:rsidRPr="00623A01" w:rsidRDefault="00DA127C" w:rsidP="00E13E6B">
      <w:pPr>
        <w:jc w:val="both"/>
        <w:rPr>
          <w:rFonts w:ascii="Tahoma" w:hAnsi="Tahoma" w:cs="Tahoma"/>
          <w:b/>
          <w:bCs/>
          <w:shadow/>
          <w:sz w:val="21"/>
          <w:szCs w:val="21"/>
        </w:rPr>
      </w:pPr>
    </w:p>
    <w:p w:rsidR="00DA127C" w:rsidRPr="00623A01" w:rsidRDefault="00DA127C" w:rsidP="00E13E6B">
      <w:pPr>
        <w:jc w:val="both"/>
        <w:rPr>
          <w:rFonts w:ascii="Tahoma" w:hAnsi="Tahoma" w:cs="Tahoma"/>
          <w:b/>
          <w:bCs/>
          <w:shadow/>
          <w:sz w:val="21"/>
          <w:szCs w:val="21"/>
        </w:rPr>
      </w:pPr>
    </w:p>
    <w:p w:rsidR="00DA127C" w:rsidRPr="00623A01" w:rsidRDefault="00DA127C" w:rsidP="00E13E6B">
      <w:pPr>
        <w:jc w:val="both"/>
        <w:rPr>
          <w:rFonts w:ascii="Tahoma" w:hAnsi="Tahoma" w:cs="Tahoma"/>
          <w:b/>
          <w:bCs/>
          <w:shadow/>
          <w:sz w:val="21"/>
          <w:szCs w:val="21"/>
        </w:rPr>
      </w:pPr>
    </w:p>
    <w:p w:rsidR="00EC4953" w:rsidRPr="00623A01" w:rsidRDefault="00EC4953" w:rsidP="00E13E6B">
      <w:pPr>
        <w:jc w:val="both"/>
        <w:rPr>
          <w:rFonts w:ascii="Tahoma" w:hAnsi="Tahoma" w:cs="Tahoma"/>
          <w:b/>
          <w:bCs/>
          <w:shadow/>
          <w:sz w:val="21"/>
          <w:szCs w:val="21"/>
        </w:rPr>
      </w:pPr>
    </w:p>
    <w:p w:rsidR="00E13E6B" w:rsidRPr="00623A01" w:rsidRDefault="00E13E6B" w:rsidP="00295C50">
      <w:pPr>
        <w:jc w:val="center"/>
        <w:rPr>
          <w:rFonts w:ascii="Tahoma" w:hAnsi="Tahoma" w:cs="Tahoma"/>
          <w:b/>
          <w:bCs/>
          <w:shadow/>
          <w:sz w:val="21"/>
          <w:szCs w:val="21"/>
        </w:rPr>
      </w:pPr>
      <w:r w:rsidRPr="00623A01">
        <w:rPr>
          <w:rFonts w:ascii="Tahoma" w:hAnsi="Tahoma" w:cs="Tahoma"/>
          <w:b/>
          <w:bCs/>
          <w:shadow/>
          <w:sz w:val="21"/>
          <w:szCs w:val="21"/>
        </w:rPr>
        <w:t>PRESIDENTE</w:t>
      </w:r>
    </w:p>
    <w:p w:rsidR="00E13E6B" w:rsidRPr="00623A01" w:rsidRDefault="00E13E6B" w:rsidP="00C5251B">
      <w:pPr>
        <w:jc w:val="center"/>
        <w:rPr>
          <w:rFonts w:ascii="Tahoma" w:hAnsi="Tahoma" w:cs="Tahoma"/>
          <w:b/>
          <w:bCs/>
          <w:shadow/>
          <w:sz w:val="21"/>
          <w:szCs w:val="21"/>
        </w:rPr>
      </w:pPr>
    </w:p>
    <w:p w:rsidR="00E13E6B" w:rsidRPr="00623A01" w:rsidRDefault="00E13E6B" w:rsidP="00C5251B">
      <w:pPr>
        <w:jc w:val="center"/>
        <w:rPr>
          <w:rFonts w:ascii="Tahoma" w:hAnsi="Tahoma" w:cs="Tahoma"/>
          <w:b/>
          <w:bCs/>
          <w:shadow/>
          <w:sz w:val="21"/>
          <w:szCs w:val="21"/>
        </w:rPr>
      </w:pPr>
    </w:p>
    <w:p w:rsidR="00DA127C" w:rsidRPr="00623A01" w:rsidRDefault="00DA127C" w:rsidP="00C5251B">
      <w:pPr>
        <w:jc w:val="center"/>
        <w:rPr>
          <w:rFonts w:ascii="Tahoma" w:hAnsi="Tahoma" w:cs="Tahoma"/>
          <w:b/>
          <w:bCs/>
          <w:shadow/>
          <w:sz w:val="21"/>
          <w:szCs w:val="21"/>
        </w:rPr>
      </w:pPr>
    </w:p>
    <w:p w:rsidR="00DA127C" w:rsidRPr="00623A01" w:rsidRDefault="00DA127C" w:rsidP="00C5251B">
      <w:pPr>
        <w:jc w:val="center"/>
        <w:rPr>
          <w:rFonts w:ascii="Tahoma" w:hAnsi="Tahoma" w:cs="Tahoma"/>
          <w:b/>
          <w:bCs/>
          <w:shadow/>
          <w:sz w:val="21"/>
          <w:szCs w:val="21"/>
        </w:rPr>
      </w:pPr>
    </w:p>
    <w:p w:rsidR="00E13E6B" w:rsidRPr="00623A01" w:rsidRDefault="00E13E6B" w:rsidP="00C5251B">
      <w:pPr>
        <w:jc w:val="center"/>
        <w:rPr>
          <w:rFonts w:ascii="Tahoma" w:hAnsi="Tahoma" w:cs="Tahoma"/>
          <w:b/>
          <w:bCs/>
          <w:shadow/>
          <w:sz w:val="21"/>
          <w:szCs w:val="21"/>
        </w:rPr>
      </w:pPr>
    </w:p>
    <w:p w:rsidR="00E13E6B" w:rsidRPr="00623A01" w:rsidRDefault="00E13E6B" w:rsidP="00C5251B">
      <w:pPr>
        <w:jc w:val="center"/>
        <w:rPr>
          <w:rFonts w:ascii="Tahoma" w:hAnsi="Tahoma" w:cs="Tahoma"/>
          <w:b/>
          <w:shadow/>
          <w:sz w:val="21"/>
          <w:szCs w:val="21"/>
        </w:rPr>
      </w:pPr>
      <w:r w:rsidRPr="00623A01">
        <w:rPr>
          <w:rFonts w:ascii="Tahoma" w:hAnsi="Tahoma" w:cs="Tahoma"/>
          <w:b/>
          <w:shadow/>
          <w:sz w:val="21"/>
          <w:szCs w:val="21"/>
        </w:rPr>
        <w:t xml:space="preserve">VOCAL           </w:t>
      </w:r>
      <w:r w:rsidRPr="00623A01">
        <w:rPr>
          <w:rFonts w:ascii="Tahoma" w:hAnsi="Tahoma" w:cs="Tahoma"/>
          <w:b/>
          <w:shadow/>
          <w:sz w:val="21"/>
          <w:szCs w:val="21"/>
        </w:rPr>
        <w:tab/>
      </w:r>
      <w:r w:rsidRPr="00623A01">
        <w:rPr>
          <w:rFonts w:ascii="Tahoma" w:hAnsi="Tahoma" w:cs="Tahoma"/>
          <w:b/>
          <w:shadow/>
          <w:sz w:val="21"/>
          <w:szCs w:val="21"/>
        </w:rPr>
        <w:tab/>
        <w:t xml:space="preserve">                                                                VOCAL</w:t>
      </w:r>
    </w:p>
    <w:p w:rsidR="00635F2E" w:rsidRPr="00623A01" w:rsidRDefault="00635F2E" w:rsidP="00E13E6B">
      <w:pPr>
        <w:jc w:val="both"/>
        <w:rPr>
          <w:rFonts w:ascii="Tahoma" w:hAnsi="Tahoma" w:cs="Tahoma"/>
          <w:sz w:val="21"/>
          <w:szCs w:val="21"/>
        </w:rPr>
      </w:pPr>
    </w:p>
    <w:p w:rsidR="00635F2E" w:rsidRPr="00623A01" w:rsidRDefault="00635F2E" w:rsidP="00E13E6B">
      <w:pPr>
        <w:jc w:val="both"/>
        <w:rPr>
          <w:rFonts w:ascii="Tahoma" w:hAnsi="Tahoma" w:cs="Tahoma"/>
          <w:sz w:val="21"/>
          <w:szCs w:val="21"/>
        </w:rPr>
      </w:pPr>
    </w:p>
    <w:p w:rsidR="00635F2E" w:rsidRPr="00623A01" w:rsidRDefault="00635F2E" w:rsidP="00E13E6B">
      <w:pPr>
        <w:jc w:val="both"/>
        <w:rPr>
          <w:rFonts w:ascii="Tahoma" w:hAnsi="Tahoma" w:cs="Tahoma"/>
          <w:sz w:val="21"/>
          <w:szCs w:val="21"/>
        </w:rPr>
      </w:pPr>
    </w:p>
    <w:p w:rsidR="00E13E6B" w:rsidRPr="00623A01" w:rsidRDefault="00E13E6B" w:rsidP="00E13E6B">
      <w:pPr>
        <w:jc w:val="both"/>
        <w:rPr>
          <w:rFonts w:ascii="Tahoma" w:hAnsi="Tahoma" w:cs="Tahoma"/>
          <w:sz w:val="21"/>
          <w:szCs w:val="21"/>
        </w:rPr>
      </w:pPr>
      <w:r w:rsidRPr="00623A01">
        <w:rPr>
          <w:rFonts w:ascii="Tahoma" w:hAnsi="Tahoma" w:cs="Tahoma"/>
          <w:sz w:val="21"/>
          <w:szCs w:val="21"/>
        </w:rPr>
        <w:t>ss.</w:t>
      </w:r>
    </w:p>
    <w:p w:rsidR="00351F6F" w:rsidRPr="00623A01" w:rsidRDefault="00351F6F" w:rsidP="00351F6F">
      <w:pPr>
        <w:jc w:val="both"/>
        <w:rPr>
          <w:rFonts w:ascii="Tahoma" w:hAnsi="Tahoma" w:cs="Tahoma"/>
          <w:sz w:val="21"/>
          <w:szCs w:val="21"/>
        </w:rPr>
      </w:pPr>
      <w:r w:rsidRPr="00623A01">
        <w:rPr>
          <w:rFonts w:ascii="Tahoma" w:hAnsi="Tahoma" w:cs="Tahoma"/>
          <w:sz w:val="21"/>
          <w:szCs w:val="21"/>
        </w:rPr>
        <w:t>Navas Rondón</w:t>
      </w:r>
    </w:p>
    <w:p w:rsidR="00351F6F" w:rsidRPr="00623A01" w:rsidRDefault="00351F6F" w:rsidP="00351F6F">
      <w:pPr>
        <w:jc w:val="both"/>
        <w:rPr>
          <w:rFonts w:ascii="Tahoma" w:hAnsi="Tahoma" w:cs="Tahoma"/>
          <w:color w:val="000000"/>
          <w:sz w:val="21"/>
          <w:szCs w:val="21"/>
        </w:rPr>
      </w:pPr>
      <w:r w:rsidRPr="00623A01">
        <w:rPr>
          <w:rFonts w:ascii="Tahoma" w:hAnsi="Tahoma" w:cs="Tahoma"/>
          <w:color w:val="000000"/>
          <w:sz w:val="21"/>
          <w:szCs w:val="21"/>
        </w:rPr>
        <w:t xml:space="preserve">Ramírez Maynetto </w:t>
      </w:r>
    </w:p>
    <w:p w:rsidR="00351F6F" w:rsidRPr="00623A01" w:rsidRDefault="00351F6F" w:rsidP="00351F6F">
      <w:pPr>
        <w:jc w:val="both"/>
        <w:rPr>
          <w:rFonts w:ascii="Tahoma" w:hAnsi="Tahoma" w:cs="Tahoma"/>
          <w:sz w:val="21"/>
          <w:szCs w:val="21"/>
        </w:rPr>
      </w:pPr>
      <w:r w:rsidRPr="00623A01">
        <w:rPr>
          <w:rFonts w:ascii="Tahoma" w:hAnsi="Tahoma" w:cs="Tahoma"/>
          <w:sz w:val="21"/>
          <w:szCs w:val="21"/>
        </w:rPr>
        <w:t>Basulto Liewald.</w:t>
      </w:r>
    </w:p>
    <w:p w:rsidR="002C6D86" w:rsidRPr="00BD5DE4" w:rsidRDefault="00E7408B" w:rsidP="00351F6F">
      <w:pPr>
        <w:jc w:val="both"/>
        <w:rPr>
          <w:rFonts w:ascii="Tahoma" w:hAnsi="Tahoma" w:cs="Tahoma"/>
          <w:sz w:val="20"/>
          <w:szCs w:val="20"/>
        </w:rPr>
      </w:pPr>
    </w:p>
    <w:sectPr w:rsidR="002C6D86" w:rsidRPr="00BD5DE4"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408B" w:rsidRDefault="00E7408B" w:rsidP="00E13E6B">
      <w:r>
        <w:separator/>
      </w:r>
    </w:p>
  </w:endnote>
  <w:endnote w:type="continuationSeparator" w:id="1">
    <w:p w:rsidR="00E7408B" w:rsidRDefault="00E7408B"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6F0" w:rsidRDefault="00E7408B" w:rsidP="00E066F0">
    <w:pPr>
      <w:pStyle w:val="Piedepgina"/>
      <w:jc w:val="center"/>
    </w:pPr>
  </w:p>
  <w:p w:rsidR="00E066F0" w:rsidRDefault="005B0EEA" w:rsidP="00E066F0">
    <w:pPr>
      <w:pStyle w:val="Piedepgina"/>
      <w:jc w:val="center"/>
    </w:pPr>
    <w:r>
      <w:t xml:space="preserve">Página </w:t>
    </w:r>
    <w:r w:rsidR="00095BD4">
      <w:fldChar w:fldCharType="begin"/>
    </w:r>
    <w:r>
      <w:instrText>PAGE</w:instrText>
    </w:r>
    <w:r w:rsidR="00095BD4">
      <w:fldChar w:fldCharType="separate"/>
    </w:r>
    <w:r w:rsidR="00880912">
      <w:rPr>
        <w:noProof/>
      </w:rPr>
      <w:t>1</w:t>
    </w:r>
    <w:r w:rsidR="00095BD4">
      <w:fldChar w:fldCharType="end"/>
    </w:r>
    <w:r w:rsidRPr="006214E4">
      <w:t xml:space="preserve"> de </w:t>
    </w:r>
    <w:r w:rsidR="00095BD4">
      <w:fldChar w:fldCharType="begin"/>
    </w:r>
    <w:r>
      <w:instrText>NUMPAGES</w:instrText>
    </w:r>
    <w:r w:rsidR="00095BD4">
      <w:fldChar w:fldCharType="separate"/>
    </w:r>
    <w:r w:rsidR="00880912">
      <w:rPr>
        <w:noProof/>
      </w:rPr>
      <w:t>7</w:t>
    </w:r>
    <w:r w:rsidR="00095BD4">
      <w:fldChar w:fldCharType="end"/>
    </w:r>
  </w:p>
  <w:p w:rsidR="00E066F0" w:rsidRPr="00223795" w:rsidRDefault="00E7408B"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408B" w:rsidRDefault="00E7408B" w:rsidP="00E13E6B">
      <w:r>
        <w:separator/>
      </w:r>
    </w:p>
  </w:footnote>
  <w:footnote w:type="continuationSeparator" w:id="1">
    <w:p w:rsidR="00E7408B" w:rsidRDefault="00E7408B" w:rsidP="00E13E6B">
      <w:r>
        <w:continuationSeparator/>
      </w:r>
    </w:p>
  </w:footnote>
  <w:footnote w:id="2">
    <w:p w:rsidR="00BD5DE4" w:rsidRPr="00227330" w:rsidRDefault="00BD5DE4" w:rsidP="00BD5DE4">
      <w:pPr>
        <w:pStyle w:val="Textonotapie"/>
        <w:rPr>
          <w:sz w:val="15"/>
          <w:szCs w:val="15"/>
        </w:rPr>
      </w:pPr>
      <w:r w:rsidRPr="00227330">
        <w:rPr>
          <w:rStyle w:val="Refdenotaalpie"/>
          <w:sz w:val="15"/>
          <w:szCs w:val="15"/>
        </w:rPr>
        <w:footnoteRef/>
      </w:r>
      <w:r w:rsidRPr="00227330">
        <w:rPr>
          <w:sz w:val="15"/>
          <w:szCs w:val="15"/>
        </w:rPr>
        <w:t xml:space="preserve"> </w:t>
      </w:r>
      <w:r w:rsidRPr="00227330">
        <w:rPr>
          <w:b/>
          <w:sz w:val="15"/>
          <w:szCs w:val="15"/>
        </w:rPr>
        <w:t>Artículo 51.- Infracciones y sanciones administrativas</w:t>
      </w:r>
    </w:p>
    <w:p w:rsidR="00BD5DE4" w:rsidRPr="00227330" w:rsidRDefault="00BD5DE4" w:rsidP="00BD5DE4">
      <w:pPr>
        <w:pStyle w:val="Textonotapie"/>
        <w:rPr>
          <w:sz w:val="15"/>
          <w:szCs w:val="15"/>
        </w:rPr>
      </w:pPr>
      <w:r w:rsidRPr="00227330">
        <w:rPr>
          <w:sz w:val="15"/>
          <w:szCs w:val="15"/>
        </w:rPr>
        <w:t>51.1 Infracciones</w:t>
      </w:r>
    </w:p>
    <w:p w:rsidR="00BD5DE4" w:rsidRPr="00227330" w:rsidRDefault="00BD5DE4" w:rsidP="00BD5DE4">
      <w:pPr>
        <w:pStyle w:val="Textonotapie"/>
        <w:rPr>
          <w:sz w:val="15"/>
          <w:szCs w:val="15"/>
        </w:rPr>
      </w:pPr>
      <w:r w:rsidRPr="00227330">
        <w:rPr>
          <w:sz w:val="15"/>
          <w:szCs w:val="15"/>
        </w:rPr>
        <w:t>Se impondrá sanción administrativa a los proveedores, participantes, postores y/o contratistas que:</w:t>
      </w:r>
    </w:p>
    <w:p w:rsidR="00BD5DE4" w:rsidRPr="00227330" w:rsidRDefault="00BD5DE4" w:rsidP="00BD5DE4">
      <w:pPr>
        <w:pStyle w:val="Textonotapie"/>
        <w:rPr>
          <w:sz w:val="15"/>
          <w:szCs w:val="15"/>
        </w:rPr>
      </w:pPr>
      <w:r w:rsidRPr="00227330">
        <w:rPr>
          <w:sz w:val="15"/>
          <w:szCs w:val="15"/>
        </w:rPr>
        <w:t>(…)</w:t>
      </w:r>
    </w:p>
    <w:p w:rsidR="00BD5DE4" w:rsidRPr="00227330" w:rsidRDefault="00BD5DE4" w:rsidP="00BD5DE4">
      <w:pPr>
        <w:pStyle w:val="Textonotapie"/>
        <w:rPr>
          <w:sz w:val="15"/>
          <w:szCs w:val="15"/>
        </w:rPr>
      </w:pPr>
      <w:r w:rsidRPr="00227330">
        <w:rPr>
          <w:sz w:val="15"/>
          <w:szCs w:val="15"/>
        </w:rPr>
        <w:t>b) Den lugar a la resolución del contrato, orden de compra o de servicios por causal atribuible a su  parte;</w:t>
      </w:r>
    </w:p>
  </w:footnote>
  <w:footnote w:id="3">
    <w:p w:rsidR="00BD5DE4" w:rsidRPr="00227330" w:rsidRDefault="00BD5DE4" w:rsidP="00BD5DE4">
      <w:pPr>
        <w:pStyle w:val="Textonotapie"/>
        <w:rPr>
          <w:sz w:val="15"/>
          <w:szCs w:val="15"/>
        </w:rPr>
      </w:pPr>
      <w:r w:rsidRPr="00227330">
        <w:rPr>
          <w:rStyle w:val="Refdenotaalpie"/>
          <w:sz w:val="15"/>
          <w:szCs w:val="15"/>
        </w:rPr>
        <w:footnoteRef/>
      </w:r>
      <w:r w:rsidRPr="00227330">
        <w:rPr>
          <w:sz w:val="15"/>
          <w:szCs w:val="15"/>
        </w:rPr>
        <w:t xml:space="preserve"> </w:t>
      </w:r>
      <w:r w:rsidRPr="00227330">
        <w:rPr>
          <w:b/>
          <w:bCs/>
          <w:sz w:val="15"/>
          <w:szCs w:val="15"/>
        </w:rPr>
        <w:t>Artículo 237.- Causales de aplicación de sanción a los proveedores, participantes, postores y contratistas</w:t>
      </w:r>
    </w:p>
    <w:p w:rsidR="00BD5DE4" w:rsidRPr="00227330" w:rsidRDefault="00BD5DE4" w:rsidP="00BD5DE4">
      <w:pPr>
        <w:pStyle w:val="Textonotapie"/>
        <w:rPr>
          <w:sz w:val="15"/>
          <w:szCs w:val="15"/>
        </w:rPr>
      </w:pPr>
      <w:r w:rsidRPr="00227330">
        <w:rPr>
          <w:sz w:val="15"/>
          <w:szCs w:val="15"/>
        </w:rPr>
        <w:t>El Tribunal impondrá la sanción administrativa de inhabilitación temporal o definitiva a los proveedores, participantes, postores y/o contratistas que:</w:t>
      </w:r>
    </w:p>
    <w:p w:rsidR="00BD5DE4" w:rsidRPr="00227330" w:rsidRDefault="00BD5DE4" w:rsidP="00BD5DE4">
      <w:pPr>
        <w:pStyle w:val="Textonotapie"/>
        <w:rPr>
          <w:sz w:val="15"/>
          <w:szCs w:val="15"/>
        </w:rPr>
      </w:pPr>
      <w:r w:rsidRPr="00227330">
        <w:rPr>
          <w:sz w:val="15"/>
          <w:szCs w:val="15"/>
        </w:rPr>
        <w:t>(…)</w:t>
      </w:r>
    </w:p>
    <w:p w:rsidR="00BD5DE4" w:rsidRPr="00227330" w:rsidRDefault="00BD5DE4" w:rsidP="00BD5DE4">
      <w:pPr>
        <w:pStyle w:val="Textonotapie"/>
        <w:rPr>
          <w:sz w:val="15"/>
          <w:szCs w:val="15"/>
        </w:rPr>
      </w:pPr>
      <w:r w:rsidRPr="00227330">
        <w:rPr>
          <w:sz w:val="15"/>
          <w:szCs w:val="15"/>
        </w:rPr>
        <w:t>2) Den lugar a la resolución del contrato, orden de compra o de servicios por causal atribuible a su parte.</w:t>
      </w:r>
    </w:p>
    <w:p w:rsidR="00BD5DE4" w:rsidRPr="00237395" w:rsidRDefault="00BD5DE4" w:rsidP="00BD5DE4">
      <w:pPr>
        <w:pStyle w:val="Textonotapie"/>
        <w:rPr>
          <w:sz w:val="18"/>
          <w:szCs w:val="18"/>
        </w:rPr>
      </w:pPr>
    </w:p>
  </w:footnote>
  <w:footnote w:id="4">
    <w:p w:rsidR="00BD5DE4" w:rsidRPr="006A3728" w:rsidRDefault="00BD5DE4" w:rsidP="00BD5DE4">
      <w:pPr>
        <w:pStyle w:val="Textonotapie"/>
        <w:rPr>
          <w:rFonts w:cs="Tahoma"/>
          <w:sz w:val="14"/>
          <w:szCs w:val="14"/>
        </w:rPr>
      </w:pPr>
      <w:r w:rsidRPr="006A3728">
        <w:rPr>
          <w:rStyle w:val="Refdenotaalpie"/>
          <w:rFonts w:cs="Tahoma"/>
          <w:sz w:val="14"/>
          <w:szCs w:val="14"/>
        </w:rPr>
        <w:footnoteRef/>
      </w:r>
      <w:r w:rsidRPr="006A3728">
        <w:rPr>
          <w:rFonts w:cs="Tahoma"/>
          <w:sz w:val="14"/>
          <w:szCs w:val="14"/>
        </w:rPr>
        <w:t xml:space="preserve"> Acuerdo dictado en el marco de los entonces vigentes Texto Único Ordenado de la Ley de Contrataciones y Adquisiciones del Estado, aprobado por Decreto Supremo № 012-2001-PCM, y su Reglamento, aprobado por Decreto Supremo № 013-2001-PCM, pero que resulta igualmente aplicable al caso de autos por referirse a la misma materia.</w:t>
      </w:r>
    </w:p>
    <w:p w:rsidR="00BD5DE4" w:rsidRPr="00CD30A1" w:rsidRDefault="00BD5DE4" w:rsidP="00BD5DE4">
      <w:pPr>
        <w:pStyle w:val="Textonotapie"/>
        <w:rPr>
          <w:rFonts w:cs="Tahoma"/>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912" w:rsidRDefault="00880912" w:rsidP="00880912">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880912" w:rsidRDefault="00880912" w:rsidP="00880912">
    <w:pPr>
      <w:pStyle w:val="Encabezado"/>
      <w:rPr>
        <w:noProof/>
      </w:rPr>
    </w:pPr>
  </w:p>
  <w:p w:rsidR="00880912" w:rsidRDefault="00880912" w:rsidP="00880912">
    <w:pPr>
      <w:pStyle w:val="Encabezado"/>
      <w:rPr>
        <w:noProof/>
      </w:rPr>
    </w:pPr>
  </w:p>
  <w:p w:rsidR="00880912" w:rsidRDefault="00880912" w:rsidP="00880912">
    <w:pPr>
      <w:pStyle w:val="Encabezado"/>
      <w:rPr>
        <w:noProof/>
      </w:rPr>
    </w:pPr>
  </w:p>
  <w:p w:rsidR="00880912" w:rsidRDefault="00880912" w:rsidP="00880912">
    <w:pPr>
      <w:pStyle w:val="Encabezado"/>
      <w:jc w:val="center"/>
    </w:pPr>
    <w:r>
      <w:rPr>
        <w:rFonts w:ascii="Monotype Corsiva" w:hAnsi="Monotype Corsiva"/>
        <w:b/>
        <w:sz w:val="44"/>
        <w:szCs w:val="44"/>
      </w:rPr>
      <w:t xml:space="preserve">Resolución Nº   </w:t>
    </w:r>
    <w:r>
      <w:rPr>
        <w:rFonts w:ascii="Tahoma" w:hAnsi="Tahoma" w:cs="Tahoma"/>
        <w:b/>
        <w:sz w:val="44"/>
        <w:szCs w:val="44"/>
      </w:rPr>
      <w:t>514-2011-TC-S1</w:t>
    </w:r>
  </w:p>
  <w:p w:rsidR="00880912" w:rsidRDefault="0088091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0D89661A"/>
    <w:multiLevelType w:val="hybridMultilevel"/>
    <w:tmpl w:val="01CE751A"/>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nsid w:val="1FD61B9D"/>
    <w:multiLevelType w:val="hybridMultilevel"/>
    <w:tmpl w:val="0540BA38"/>
    <w:lvl w:ilvl="0" w:tplc="0C0A0015">
      <w:start w:val="1"/>
      <w:numFmt w:val="upperLetter"/>
      <w:lvlText w:val="%1."/>
      <w:lvlJc w:val="left"/>
      <w:pPr>
        <w:ind w:left="720" w:hanging="360"/>
      </w:pPr>
    </w:lvl>
    <w:lvl w:ilvl="1" w:tplc="9C085FFC">
      <w:start w:val="1"/>
      <w:numFmt w:val="decimal"/>
      <w:lvlText w:val="%2."/>
      <w:lvlJc w:val="left"/>
      <w:pPr>
        <w:tabs>
          <w:tab w:val="num" w:pos="1440"/>
        </w:tabs>
        <w:ind w:left="144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1">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2">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4">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5">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7">
    <w:nsid w:val="4CCB5371"/>
    <w:multiLevelType w:val="hybridMultilevel"/>
    <w:tmpl w:val="C15C582C"/>
    <w:lvl w:ilvl="0" w:tplc="A5705B54">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8">
    <w:nsid w:val="54D656E9"/>
    <w:multiLevelType w:val="hybridMultilevel"/>
    <w:tmpl w:val="DA708F52"/>
    <w:lvl w:ilvl="0" w:tplc="A5705B54">
      <w:start w:val="1"/>
      <w:numFmt w:val="lowerRoman"/>
      <w:lvlText w:val="(%1)"/>
      <w:lvlJc w:val="left"/>
      <w:pPr>
        <w:tabs>
          <w:tab w:val="num" w:pos="360"/>
        </w:tabs>
        <w:ind w:left="360" w:hanging="360"/>
      </w:pPr>
      <w:rPr>
        <w:rFonts w:hint="default"/>
        <w:b/>
      </w:rPr>
    </w:lvl>
    <w:lvl w:ilvl="1" w:tplc="AB5692E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0">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1">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3">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4">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5">
    <w:nsid w:val="742A4401"/>
    <w:multiLevelType w:val="hybridMultilevel"/>
    <w:tmpl w:val="E33E7602"/>
    <w:lvl w:ilvl="0" w:tplc="BFBE62CE">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6">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7">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2"/>
  </w:num>
  <w:num w:numId="4">
    <w:abstractNumId w:val="1"/>
  </w:num>
  <w:num w:numId="5">
    <w:abstractNumId w:val="27"/>
  </w:num>
  <w:num w:numId="6">
    <w:abstractNumId w:val="23"/>
  </w:num>
  <w:num w:numId="7">
    <w:abstractNumId w:val="21"/>
  </w:num>
  <w:num w:numId="8">
    <w:abstractNumId w:val="26"/>
  </w:num>
  <w:num w:numId="9">
    <w:abstractNumId w:val="19"/>
  </w:num>
  <w:num w:numId="10">
    <w:abstractNumId w:val="15"/>
  </w:num>
  <w:num w:numId="11">
    <w:abstractNumId w:val="4"/>
  </w:num>
  <w:num w:numId="12">
    <w:abstractNumId w:val="11"/>
  </w:num>
  <w:num w:numId="13">
    <w:abstractNumId w:val="2"/>
  </w:num>
  <w:num w:numId="14">
    <w:abstractNumId w:val="13"/>
  </w:num>
  <w:num w:numId="15">
    <w:abstractNumId w:val="20"/>
  </w:num>
  <w:num w:numId="16">
    <w:abstractNumId w:val="10"/>
  </w:num>
  <w:num w:numId="17">
    <w:abstractNumId w:val="22"/>
  </w:num>
  <w:num w:numId="18">
    <w:abstractNumId w:val="9"/>
  </w:num>
  <w:num w:numId="19">
    <w:abstractNumId w:val="24"/>
  </w:num>
  <w:num w:numId="20">
    <w:abstractNumId w:val="14"/>
  </w:num>
  <w:num w:numId="21">
    <w:abstractNumId w:val="6"/>
  </w:num>
  <w:num w:numId="22">
    <w:abstractNumId w:val="16"/>
  </w:num>
  <w:num w:numId="23">
    <w:abstractNumId w:val="8"/>
  </w:num>
  <w:num w:numId="24">
    <w:abstractNumId w:val="3"/>
  </w:num>
  <w:num w:numId="25">
    <w:abstractNumId w:val="0"/>
  </w:num>
  <w:num w:numId="26">
    <w:abstractNumId w:val="25"/>
  </w:num>
  <w:num w:numId="27">
    <w:abstractNumId w:val="18"/>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458"/>
  </w:hdrShapeDefaults>
  <w:footnotePr>
    <w:footnote w:id="0"/>
    <w:footnote w:id="1"/>
  </w:footnotePr>
  <w:endnotePr>
    <w:endnote w:id="0"/>
    <w:endnote w:id="1"/>
  </w:endnotePr>
  <w:compat/>
  <w:rsids>
    <w:rsidRoot w:val="00E13E6B"/>
    <w:rsid w:val="00000BF4"/>
    <w:rsid w:val="00016207"/>
    <w:rsid w:val="00027FB1"/>
    <w:rsid w:val="00041FBA"/>
    <w:rsid w:val="0005582F"/>
    <w:rsid w:val="00082DF1"/>
    <w:rsid w:val="00095BD4"/>
    <w:rsid w:val="000B0A8A"/>
    <w:rsid w:val="000B0CEB"/>
    <w:rsid w:val="000B6C24"/>
    <w:rsid w:val="000E3E0B"/>
    <w:rsid w:val="001016D9"/>
    <w:rsid w:val="001337F7"/>
    <w:rsid w:val="00140241"/>
    <w:rsid w:val="00140DE4"/>
    <w:rsid w:val="00164CC7"/>
    <w:rsid w:val="001776B6"/>
    <w:rsid w:val="00187209"/>
    <w:rsid w:val="00187E2A"/>
    <w:rsid w:val="001C5BD6"/>
    <w:rsid w:val="001E448B"/>
    <w:rsid w:val="001E71F0"/>
    <w:rsid w:val="001F5C44"/>
    <w:rsid w:val="00214D5E"/>
    <w:rsid w:val="00222218"/>
    <w:rsid w:val="0022267E"/>
    <w:rsid w:val="00231184"/>
    <w:rsid w:val="0023169C"/>
    <w:rsid w:val="00254249"/>
    <w:rsid w:val="002837D2"/>
    <w:rsid w:val="00295C50"/>
    <w:rsid w:val="00331E1A"/>
    <w:rsid w:val="003430DE"/>
    <w:rsid w:val="00351F6F"/>
    <w:rsid w:val="00360AFE"/>
    <w:rsid w:val="003B4F9C"/>
    <w:rsid w:val="004255A5"/>
    <w:rsid w:val="00440D71"/>
    <w:rsid w:val="00442AC8"/>
    <w:rsid w:val="004515EA"/>
    <w:rsid w:val="00455F96"/>
    <w:rsid w:val="00466DC8"/>
    <w:rsid w:val="004C487F"/>
    <w:rsid w:val="004C5043"/>
    <w:rsid w:val="004F2CC5"/>
    <w:rsid w:val="00531D1E"/>
    <w:rsid w:val="005521E5"/>
    <w:rsid w:val="00567032"/>
    <w:rsid w:val="005B0EEA"/>
    <w:rsid w:val="005B1E24"/>
    <w:rsid w:val="005E3E1C"/>
    <w:rsid w:val="005F3C91"/>
    <w:rsid w:val="00623A01"/>
    <w:rsid w:val="00635F2E"/>
    <w:rsid w:val="00642EE3"/>
    <w:rsid w:val="0065269D"/>
    <w:rsid w:val="006550D3"/>
    <w:rsid w:val="006B6377"/>
    <w:rsid w:val="006C0A94"/>
    <w:rsid w:val="006C2E41"/>
    <w:rsid w:val="006C5B6A"/>
    <w:rsid w:val="006D2E88"/>
    <w:rsid w:val="006E4E4E"/>
    <w:rsid w:val="006E5571"/>
    <w:rsid w:val="006E5BF8"/>
    <w:rsid w:val="006F0656"/>
    <w:rsid w:val="006F3B1E"/>
    <w:rsid w:val="00732D42"/>
    <w:rsid w:val="0074555F"/>
    <w:rsid w:val="007570AE"/>
    <w:rsid w:val="00763CC8"/>
    <w:rsid w:val="00766749"/>
    <w:rsid w:val="007728C3"/>
    <w:rsid w:val="00772A36"/>
    <w:rsid w:val="007D7E70"/>
    <w:rsid w:val="007E4F29"/>
    <w:rsid w:val="008011A4"/>
    <w:rsid w:val="00822C2F"/>
    <w:rsid w:val="00835165"/>
    <w:rsid w:val="008734E8"/>
    <w:rsid w:val="00880912"/>
    <w:rsid w:val="00903A92"/>
    <w:rsid w:val="009066F9"/>
    <w:rsid w:val="00920048"/>
    <w:rsid w:val="0092385F"/>
    <w:rsid w:val="0092699F"/>
    <w:rsid w:val="00982D52"/>
    <w:rsid w:val="00992FEE"/>
    <w:rsid w:val="00993C05"/>
    <w:rsid w:val="009C2CF7"/>
    <w:rsid w:val="009E1F2A"/>
    <w:rsid w:val="00A52C81"/>
    <w:rsid w:val="00A53CAF"/>
    <w:rsid w:val="00A9776E"/>
    <w:rsid w:val="00AA6BAC"/>
    <w:rsid w:val="00AA7525"/>
    <w:rsid w:val="00AB0F61"/>
    <w:rsid w:val="00AD4AB5"/>
    <w:rsid w:val="00B05429"/>
    <w:rsid w:val="00B06760"/>
    <w:rsid w:val="00B1735A"/>
    <w:rsid w:val="00B25FCD"/>
    <w:rsid w:val="00B31BA1"/>
    <w:rsid w:val="00B34BC9"/>
    <w:rsid w:val="00B71CFC"/>
    <w:rsid w:val="00BD5DE4"/>
    <w:rsid w:val="00BE51B2"/>
    <w:rsid w:val="00BE67EB"/>
    <w:rsid w:val="00C15ECB"/>
    <w:rsid w:val="00C5251B"/>
    <w:rsid w:val="00C8148D"/>
    <w:rsid w:val="00CC3859"/>
    <w:rsid w:val="00CC52A3"/>
    <w:rsid w:val="00D002B4"/>
    <w:rsid w:val="00D069FF"/>
    <w:rsid w:val="00D115F8"/>
    <w:rsid w:val="00D13BC9"/>
    <w:rsid w:val="00D445DC"/>
    <w:rsid w:val="00DA127C"/>
    <w:rsid w:val="00DA2C25"/>
    <w:rsid w:val="00DC3001"/>
    <w:rsid w:val="00DD589B"/>
    <w:rsid w:val="00E124B8"/>
    <w:rsid w:val="00E13E6B"/>
    <w:rsid w:val="00E1470E"/>
    <w:rsid w:val="00E633EF"/>
    <w:rsid w:val="00E7408B"/>
    <w:rsid w:val="00E77676"/>
    <w:rsid w:val="00E964AA"/>
    <w:rsid w:val="00EC4953"/>
    <w:rsid w:val="00EE4815"/>
    <w:rsid w:val="00EE7A6B"/>
    <w:rsid w:val="00F07AF0"/>
    <w:rsid w:val="00F3647A"/>
    <w:rsid w:val="00F4438A"/>
    <w:rsid w:val="00F50510"/>
    <w:rsid w:val="00F66D53"/>
    <w:rsid w:val="00F77525"/>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13E6B"/>
    <w:pPr>
      <w:tabs>
        <w:tab w:val="center" w:pos="4252"/>
        <w:tab w:val="right" w:pos="8504"/>
      </w:tabs>
    </w:pPr>
  </w:style>
  <w:style w:type="character" w:customStyle="1" w:styleId="PiedepginaCar">
    <w:name w:val="Pie de página Car"/>
    <w:basedOn w:val="Fuentedeprrafopredeter"/>
    <w:link w:val="Piedepgina"/>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2 Car1 Car,Car2 Car Car Car Car Car,Car2 Car Car,Car2 Car Car Car Car Car Car, Car1, Car Car Car"/>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2 Car1 Car Car,Car2 Car Car Car Car Car Car1,Car2 Car Car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rsid w:val="00E13E6B"/>
    <w:rPr>
      <w:rFonts w:cs="Times New Roman"/>
      <w:vertAlign w:val="superscript"/>
    </w:rPr>
  </w:style>
  <w:style w:type="paragraph" w:styleId="Prrafodelista">
    <w:name w:val="List Paragraph"/>
    <w:basedOn w:val="Normal"/>
    <w:uiPriority w:val="99"/>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styleId="Encabezado">
    <w:name w:val="header"/>
    <w:aliases w:val="maria,h"/>
    <w:basedOn w:val="Normal"/>
    <w:link w:val="EncabezadoCar"/>
    <w:uiPriority w:val="99"/>
    <w:semiHidden/>
    <w:unhideWhenUsed/>
    <w:rsid w:val="00880912"/>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880912"/>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41459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7</Pages>
  <Words>2598</Words>
  <Characters>14295</Characters>
  <Application>Microsoft Office Word</Application>
  <DocSecurity>0</DocSecurity>
  <Lines>119</Lines>
  <Paragraphs>33</Paragraphs>
  <ScaleCrop>false</ScaleCrop>
  <Company/>
  <LinksUpToDate>false</LinksUpToDate>
  <CharactersWithSpaces>16860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111</cp:revision>
  <cp:lastPrinted>2011-03-23T13:19:00Z</cp:lastPrinted>
  <dcterms:created xsi:type="dcterms:W3CDTF">2010-04-16T12:41:00Z</dcterms:created>
  <dcterms:modified xsi:type="dcterms:W3CDTF">2011-04-06T17:04:00Z</dcterms:modified>
</cp:coreProperties>
</file>